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C" w:rsidRPr="00E928DC" w:rsidRDefault="00E928DC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 - 20</w:t>
      </w:r>
      <w:r w:rsidR="00B842B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20</w:t>
      </w: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/202</w:t>
      </w:r>
      <w:r w:rsidR="00B842B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1</w:t>
      </w:r>
    </w:p>
    <w:p w:rsidR="00E928DC" w:rsidRPr="00E928DC" w:rsidRDefault="00E928DC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Santiago - Tierra </w:t>
      </w:r>
      <w:r w:rsidR="00F970B9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Patagonia</w:t>
      </w: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Hotel &amp; Spa</w:t>
      </w:r>
    </w:p>
    <w:p w:rsidR="00E928DC" w:rsidRPr="00E928DC" w:rsidRDefault="00667CD2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7</w:t>
      </w:r>
      <w:r w:rsidR="00E928DC"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 xml:space="preserve"> dias</w:t>
      </w:r>
    </w:p>
    <w:p w:rsidR="00880347" w:rsidRPr="00713F18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713F18" w:rsidRDefault="007032F9" w:rsidP="009C2D6A">
      <w:pPr>
        <w:spacing w:line="276" w:lineRule="auto"/>
        <w:rPr>
          <w:rFonts w:ascii="Arial" w:hAnsi="Arial" w:cs="Arial"/>
        </w:rPr>
      </w:pPr>
      <w:r w:rsidRPr="007032F9">
        <w:rPr>
          <w:rFonts w:ascii="Arial" w:hAnsi="Arial" w:cs="Arial"/>
          <w:noProof/>
          <w:lang w:eastAsia="pt-BR"/>
        </w:rPr>
        <w:drawing>
          <wp:inline distT="0" distB="0" distL="0" distR="0">
            <wp:extent cx="5755640" cy="2428394"/>
            <wp:effectExtent l="19050" t="0" r="0" b="0"/>
            <wp:docPr id="3" name="Imagem 2" descr="slide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sh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42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2F9" w:rsidRDefault="007032F9" w:rsidP="007032F9">
      <w:pPr>
        <w:jc w:val="both"/>
        <w:rPr>
          <w:rFonts w:asciiTheme="minorHAnsi" w:eastAsia="Andale Sans UI" w:hAnsiTheme="minorHAnsi" w:cs="Tahoma"/>
          <w:bCs/>
          <w:sz w:val="22"/>
          <w:szCs w:val="22"/>
        </w:rPr>
      </w:pP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Cs/>
          <w:sz w:val="22"/>
          <w:szCs w:val="22"/>
        </w:rPr>
        <w:t>Amigável e acolhedor, o novo Tierra Patagonia está localizado no extremo sul do Chile, com vista para o Lago Sarmiento e para os picos elevados do Parque Nacional de Torres del Paine, totalmente cercado pela natureza e isolado dos povoados mais próximos. Todos os apartamentos possuem vista para o lago e montanhas, além de mimos como produtos L’Occitane. Já a arquitetura e o interior foram pensados seguindo o estilo patagônico de hospitalidade, com lareiras sempre acesas e amplas janelas. Entre as atividades, o Tierra Patagonia oferece passeios locais, observações de animais, caminhadas, cavalgadas, passeios de bicicleta e até palestras especializadas. O destaque fica para o restaurante, que oferece completa carta de vinhos e os melhores pratos patagônicos, incluindo os tradicionais frutos do mar, e para o spa, com um amplo portfólio de tratamentos.</w:t>
      </w: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bCs/>
          <w:sz w:val="22"/>
          <w:szCs w:val="22"/>
        </w:rPr>
      </w:pP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bCs/>
          <w:sz w:val="22"/>
          <w:szCs w:val="22"/>
        </w:rPr>
      </w:pP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t>1º dia - Santiago</w:t>
      </w:r>
    </w:p>
    <w:p w:rsidR="007032F9" w:rsidRPr="007032F9" w:rsidRDefault="007032F9" w:rsidP="007032F9">
      <w:pPr>
        <w:jc w:val="both"/>
        <w:rPr>
          <w:rFonts w:asciiTheme="majorHAnsi" w:hAnsiTheme="majorHAnsi" w:cstheme="majorHAnsi"/>
          <w:sz w:val="22"/>
          <w:szCs w:val="22"/>
          <w:lang w:bidi="pt-BR"/>
        </w:rPr>
      </w:pPr>
      <w:r w:rsidRPr="007032F9">
        <w:rPr>
          <w:rFonts w:asciiTheme="majorHAnsi" w:hAnsiTheme="majorHAnsi" w:cstheme="majorHAnsi"/>
          <w:sz w:val="22"/>
          <w:szCs w:val="22"/>
        </w:rPr>
        <w:t>Chegada a Santiago. Recepção no aeroporto e traslado privativo ao hotel. C</w:t>
      </w:r>
      <w:r w:rsidRPr="007032F9">
        <w:rPr>
          <w:rFonts w:asciiTheme="majorHAnsi" w:hAnsiTheme="majorHAnsi" w:cstheme="majorHAnsi"/>
          <w:bCs/>
          <w:sz w:val="22"/>
          <w:szCs w:val="22"/>
        </w:rPr>
        <w:t>apital do Chile, Santiago está localizada na zona central do país, rodeada pela majestosa cordilheira dos Andes.</w:t>
      </w:r>
      <w:r w:rsidR="0060767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Pr="004162BB">
        <w:rPr>
          <w:rFonts w:asciiTheme="majorHAnsi" w:hAnsiTheme="majorHAnsi" w:cstheme="majorHAnsi"/>
          <w:b/>
          <w:sz w:val="22"/>
          <w:szCs w:val="22"/>
          <w:lang w:bidi="pt-BR"/>
        </w:rPr>
        <w:t>Sugerimos</w:t>
      </w:r>
      <w:r w:rsidRPr="007032F9">
        <w:rPr>
          <w:rFonts w:asciiTheme="majorHAnsi" w:hAnsiTheme="majorHAnsi" w:cstheme="majorHAnsi"/>
          <w:sz w:val="22"/>
          <w:szCs w:val="22"/>
          <w:lang w:bidi="pt-BR"/>
        </w:rPr>
        <w:t xml:space="preserve"> passeio privativo para conhecer a cidade e seus principais atrativos, como: o Clube Hípico - um dos hipódromos mais bonitos da América do Sul, a antiga Escola Militar, o Parque O’Higgins, os Cerros San Cristóbal e Santa Lucia - </w:t>
      </w:r>
      <w:r w:rsidRPr="007032F9">
        <w:rPr>
          <w:rFonts w:asciiTheme="majorHAnsi" w:hAnsiTheme="majorHAnsi" w:cstheme="majorHAnsi"/>
          <w:bCs/>
          <w:sz w:val="22"/>
          <w:szCs w:val="22"/>
        </w:rPr>
        <w:t>local de fundação da cidade há 500 anos</w:t>
      </w:r>
      <w:r w:rsidRPr="007032F9">
        <w:rPr>
          <w:rFonts w:asciiTheme="majorHAnsi" w:hAnsiTheme="majorHAnsi" w:cstheme="majorHAnsi"/>
          <w:sz w:val="22"/>
          <w:szCs w:val="22"/>
          <w:lang w:bidi="pt-BR"/>
        </w:rPr>
        <w:t>,</w:t>
      </w:r>
      <w:r w:rsidRPr="007032F9">
        <w:rPr>
          <w:rFonts w:asciiTheme="majorHAnsi" w:hAnsiTheme="majorHAnsi" w:cstheme="majorHAnsi"/>
          <w:bCs/>
          <w:sz w:val="22"/>
          <w:szCs w:val="22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Pr="007032F9">
        <w:rPr>
          <w:rFonts w:asciiTheme="majorHAnsi" w:hAnsiTheme="majorHAnsi" w:cstheme="majorHAnsi"/>
          <w:sz w:val="22"/>
          <w:szCs w:val="22"/>
        </w:rPr>
        <w:t>Hospedagem por 1 noite, com café da manhã.</w:t>
      </w:r>
    </w:p>
    <w:p w:rsidR="007032F9" w:rsidRPr="007032F9" w:rsidRDefault="007032F9" w:rsidP="007032F9">
      <w:pPr>
        <w:spacing w:before="240"/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t>2º dia - Santiago - Punta Arenas - Tierra Patagonia</w:t>
      </w: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sz w:val="22"/>
          <w:szCs w:val="22"/>
        </w:rPr>
        <w:t xml:space="preserve">Após café da manhã, traslado privativo ao aeroporto para embarque com destino a Punta Arenas. Chegada, recepção e traslado regular ao hotel. Hospedagem por 4 noites, com todas as refeições. </w:t>
      </w:r>
    </w:p>
    <w:p w:rsidR="007032F9" w:rsidRPr="007032F9" w:rsidRDefault="007032F9" w:rsidP="007032F9">
      <w:pPr>
        <w:spacing w:before="240"/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t>3º ao 5º dia -</w:t>
      </w:r>
      <w:r w:rsidR="004C0BB8">
        <w:rPr>
          <w:rFonts w:asciiTheme="majorHAnsi" w:eastAsia="Andale Sans UI" w:hAnsiTheme="majorHAnsi" w:cstheme="majorHAnsi"/>
          <w:b/>
          <w:bCs/>
          <w:sz w:val="22"/>
          <w:szCs w:val="22"/>
        </w:rPr>
        <w:t xml:space="preserve"> </w:t>
      </w: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t>Tierra Patagonia</w:t>
      </w: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sz w:val="22"/>
          <w:szCs w:val="22"/>
        </w:rPr>
        <w:t>Dias livres para desfrutar da estrutura e todas as atividades que o hotel oferece.</w:t>
      </w:r>
    </w:p>
    <w:p w:rsidR="007032F9" w:rsidRPr="007032F9" w:rsidRDefault="007032F9" w:rsidP="007032F9">
      <w:pPr>
        <w:spacing w:before="240"/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lastRenderedPageBreak/>
        <w:t>6º dia - Tierra Patagonia - Punta Arenas - Santiago</w:t>
      </w:r>
    </w:p>
    <w:p w:rsidR="007032F9" w:rsidRPr="007032F9" w:rsidRDefault="007032F9" w:rsidP="007032F9">
      <w:pPr>
        <w:jc w:val="both"/>
        <w:rPr>
          <w:rFonts w:asciiTheme="majorHAnsi" w:eastAsia="Andale Sans UI" w:hAnsiTheme="majorHAnsi" w:cstheme="majorHAnsi"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sz w:val="22"/>
          <w:szCs w:val="22"/>
        </w:rPr>
        <w:t>Em horário a ser determinado, traslado regular ao aeroporto de Punta Arenas - oferecido pelo próprio hotel, para embarque com destino a Santiago. Chegada, recepção e traslado privativo ao hotel. Hospedagem por 1 noite, com café da manhã.</w:t>
      </w:r>
    </w:p>
    <w:p w:rsidR="007032F9" w:rsidRPr="007032F9" w:rsidRDefault="007032F9" w:rsidP="007032F9">
      <w:pPr>
        <w:spacing w:before="240"/>
        <w:jc w:val="both"/>
        <w:rPr>
          <w:rFonts w:asciiTheme="majorHAnsi" w:eastAsia="Andale Sans UI" w:hAnsiTheme="majorHAnsi" w:cstheme="majorHAnsi"/>
          <w:b/>
          <w:bCs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b/>
          <w:bCs/>
          <w:sz w:val="22"/>
          <w:szCs w:val="22"/>
        </w:rPr>
        <w:t xml:space="preserve">7º dia - Santiago </w:t>
      </w:r>
    </w:p>
    <w:p w:rsidR="007032F9" w:rsidRPr="00D43271" w:rsidRDefault="007032F9" w:rsidP="007032F9">
      <w:pPr>
        <w:jc w:val="both"/>
        <w:rPr>
          <w:rFonts w:asciiTheme="minorHAnsi" w:eastAsia="Andale Sans UI" w:hAnsiTheme="minorHAnsi" w:cs="Tahoma"/>
          <w:sz w:val="22"/>
          <w:szCs w:val="22"/>
        </w:rPr>
      </w:pPr>
      <w:r w:rsidRPr="007032F9">
        <w:rPr>
          <w:rFonts w:asciiTheme="majorHAnsi" w:eastAsia="Andale Sans UI" w:hAnsiTheme="majorHAnsi" w:cstheme="majorHAnsi"/>
          <w:sz w:val="22"/>
          <w:szCs w:val="22"/>
        </w:rPr>
        <w:t>Em horário previsto, traslado privativo ao aeroporto</w:t>
      </w:r>
      <w:r w:rsidRPr="00D43271">
        <w:rPr>
          <w:rFonts w:asciiTheme="minorHAnsi" w:eastAsia="Andale Sans UI" w:hAnsiTheme="minorHAnsi" w:cs="Tahoma"/>
          <w:sz w:val="22"/>
          <w:szCs w:val="22"/>
        </w:rPr>
        <w:t>.</w:t>
      </w:r>
    </w:p>
    <w:p w:rsidR="007032F9" w:rsidRPr="00D43271" w:rsidRDefault="007032F9" w:rsidP="007032F9">
      <w:pPr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E928DC" w:rsidRDefault="00E928DC" w:rsidP="00E928DC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560"/>
        <w:gridCol w:w="471"/>
        <w:gridCol w:w="2080"/>
        <w:gridCol w:w="1559"/>
        <w:gridCol w:w="2127"/>
        <w:gridCol w:w="1417"/>
      </w:tblGrid>
      <w:tr w:rsidR="00B80439" w:rsidRPr="00E34AC8" w:rsidTr="00B842B3">
        <w:trPr>
          <w:cnfStyle w:val="10000000000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E34AC8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80439" w:rsidTr="00B842B3">
        <w:trPr>
          <w:cnfStyle w:val="000000100000"/>
        </w:trPr>
        <w:tc>
          <w:tcPr>
            <w:tcW w:w="2031" w:type="dxa"/>
            <w:gridSpan w:val="2"/>
            <w:shd w:val="clear" w:color="auto" w:fill="auto"/>
          </w:tcPr>
          <w:p w:rsidR="00B80439" w:rsidRPr="00825DA7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080" w:type="dxa"/>
            <w:shd w:val="clear" w:color="auto" w:fill="auto"/>
          </w:tcPr>
          <w:p w:rsidR="00B80439" w:rsidRPr="00E32878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Ritz-Car</w:t>
            </w:r>
            <w:r w:rsidR="00250B4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ton</w:t>
            </w:r>
          </w:p>
        </w:tc>
        <w:tc>
          <w:tcPr>
            <w:tcW w:w="1559" w:type="dxa"/>
            <w:shd w:val="clear" w:color="auto" w:fill="FFFFFF" w:themeFill="background1"/>
          </w:tcPr>
          <w:p w:rsidR="00B80439" w:rsidRPr="00825DA7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1</w:t>
            </w:r>
          </w:p>
        </w:tc>
      </w:tr>
      <w:tr w:rsidR="00B80439" w:rsidTr="00B842B3">
        <w:trPr>
          <w:cnfStyle w:val="000000010000"/>
        </w:trPr>
        <w:tc>
          <w:tcPr>
            <w:tcW w:w="2031" w:type="dxa"/>
            <w:gridSpan w:val="2"/>
            <w:shd w:val="clear" w:color="auto" w:fill="auto"/>
          </w:tcPr>
          <w:p w:rsidR="00B80439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Pedro de Atacama</w:t>
            </w:r>
          </w:p>
        </w:tc>
        <w:tc>
          <w:tcPr>
            <w:tcW w:w="2080" w:type="dxa"/>
            <w:shd w:val="clear" w:color="auto" w:fill="auto"/>
          </w:tcPr>
          <w:p w:rsidR="00B80439" w:rsidRPr="00E928DC" w:rsidRDefault="00E928DC" w:rsidP="00EC0FB7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E928D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Tierra </w:t>
            </w:r>
            <w:r w:rsidR="00EC0FB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Patagonia</w:t>
            </w:r>
          </w:p>
        </w:tc>
        <w:tc>
          <w:tcPr>
            <w:tcW w:w="1559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:rsidR="00B80439" w:rsidRDefault="00EC0FB7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Duplo Superior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4A0A8C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4</w:t>
            </w:r>
          </w:p>
        </w:tc>
      </w:tr>
    </w:tbl>
    <w:p w:rsidR="00B80439" w:rsidRDefault="00B80439" w:rsidP="00B80439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B80439" w:rsidRPr="00574A0E" w:rsidRDefault="00B80439" w:rsidP="00B80439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375AF" w:rsidRPr="00574A0E" w:rsidRDefault="003375AF" w:rsidP="003375AF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574A0E">
        <w:rPr>
          <w:rFonts w:ascii="Calibri" w:hAnsi="Calibri" w:cs="Arial"/>
          <w:sz w:val="22"/>
          <w:szCs w:val="22"/>
        </w:rPr>
        <w:t>Preço do roteiro terrestre, por pessoa, em US$</w:t>
      </w:r>
    </w:p>
    <w:p w:rsidR="003375AF" w:rsidRPr="00574A0E" w:rsidRDefault="003375AF" w:rsidP="003375AF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406"/>
        <w:gridCol w:w="1814"/>
        <w:gridCol w:w="1675"/>
        <w:gridCol w:w="2091"/>
        <w:gridCol w:w="2078"/>
      </w:tblGrid>
      <w:tr w:rsidR="00B05AC5" w:rsidRPr="00574A0E" w:rsidTr="00B05AC5">
        <w:trPr>
          <w:cnfStyle w:val="1000000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574A0E" w:rsidRDefault="00B05AC5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3F10E6" w:rsidRPr="00574A0E" w:rsidRDefault="003F10E6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  <w:p w:rsidR="00B05AC5" w:rsidRPr="00574A0E" w:rsidRDefault="00B05AC5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>1 mai a 30 jun 20</w:t>
            </w:r>
            <w:r w:rsidRPr="00574A0E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1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74A0E" w:rsidRDefault="00B05AC5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1 jul a </w:t>
            </w:r>
            <w:r w:rsidR="003F10E6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30 set 20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74A0E" w:rsidRDefault="00B05AC5" w:rsidP="00B05AC5">
            <w:pPr>
              <w:shd w:val="clear" w:color="auto" w:fill="FFFFFF"/>
              <w:spacing w:line="276" w:lineRule="auto"/>
              <w:jc w:val="left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  </w:t>
            </w: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</w:t>
            </w:r>
            <w:r w:rsidRPr="00574A0E">
              <w:rPr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</w:t>
            </w:r>
            <w:r w:rsidR="00D71C29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a 31 out </w:t>
            </w: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20</w:t>
            </w:r>
          </w:p>
          <w:p w:rsidR="00B05AC5" w:rsidRPr="00574A0E" w:rsidRDefault="00D71C2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 mar a 30 abr</w:t>
            </w:r>
            <w:r w:rsidR="00B05AC5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21</w:t>
            </w:r>
          </w:p>
          <w:p w:rsidR="00B05AC5" w:rsidRPr="00574A0E" w:rsidRDefault="00D71C29" w:rsidP="007C7B42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 jul a 30 set</w:t>
            </w:r>
            <w:r w:rsidR="00B05AC5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21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574A0E" w:rsidRDefault="00D71C29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</w:t>
            </w:r>
            <w:r w:rsidR="002856D7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*</w:t>
            </w:r>
            <w:r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 nov 20 a 28 fev 21</w:t>
            </w:r>
            <w:r w:rsidR="00B05AC5" w:rsidRPr="00574A0E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B05AC5" w:rsidRPr="00574A0E" w:rsidTr="00B05AC5">
        <w:trPr>
          <w:cnfStyle w:val="0000001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574A0E" w:rsidRDefault="00B05AC5" w:rsidP="002D6B4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574A0E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574A0E" w:rsidRDefault="00B05AC5" w:rsidP="003F10E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574A0E">
              <w:rPr>
                <w:rFonts w:ascii="Calibri" w:hAnsi="Calibri"/>
                <w:color w:val="111111"/>
                <w:sz w:val="22"/>
                <w:szCs w:val="22"/>
              </w:rPr>
              <w:t xml:space="preserve"> US$ 2.</w:t>
            </w:r>
            <w:r w:rsidR="003F10E6" w:rsidRPr="00574A0E">
              <w:rPr>
                <w:rFonts w:ascii="Calibri" w:hAnsi="Calibri"/>
                <w:color w:val="111111"/>
                <w:sz w:val="22"/>
                <w:szCs w:val="22"/>
              </w:rPr>
              <w:t>895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</w:tcPr>
          <w:p w:rsidR="00B05AC5" w:rsidRPr="00574A0E" w:rsidRDefault="00B05AC5" w:rsidP="003F10E6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574A0E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 w:rsidR="003F10E6" w:rsidRPr="00574A0E">
              <w:rPr>
                <w:rFonts w:ascii="Calibri" w:hAnsi="Calibri"/>
                <w:color w:val="111111"/>
                <w:sz w:val="22"/>
                <w:szCs w:val="22"/>
              </w:rPr>
              <w:t>3.104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</w:tcPr>
          <w:p w:rsidR="00B05AC5" w:rsidRPr="00574A0E" w:rsidRDefault="00B05AC5" w:rsidP="00D71C29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574A0E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574A0E">
              <w:rPr>
                <w:rFonts w:ascii="Calibri" w:hAnsi="Calibri"/>
                <w:color w:val="111111"/>
                <w:sz w:val="22"/>
                <w:szCs w:val="22"/>
              </w:rPr>
              <w:t xml:space="preserve"> US$ 3.</w:t>
            </w:r>
            <w:r w:rsidR="00D71C29" w:rsidRPr="00574A0E">
              <w:rPr>
                <w:rFonts w:ascii="Calibri" w:hAnsi="Calibri"/>
                <w:color w:val="111111"/>
                <w:sz w:val="22"/>
                <w:szCs w:val="22"/>
              </w:rPr>
              <w:t>254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</w:tcPr>
          <w:p w:rsidR="00B05AC5" w:rsidRPr="00574A0E" w:rsidRDefault="00B05AC5" w:rsidP="00D71C29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574A0E">
              <w:rPr>
                <w:rFonts w:ascii="Calibri" w:hAnsi="Calibri"/>
                <w:color w:val="111111"/>
                <w:sz w:val="22"/>
                <w:szCs w:val="22"/>
              </w:rPr>
              <w:t xml:space="preserve">US$ </w:t>
            </w:r>
            <w:r w:rsidR="00D71C29" w:rsidRPr="00574A0E">
              <w:rPr>
                <w:rFonts w:ascii="Calibri" w:hAnsi="Calibri"/>
                <w:color w:val="111111"/>
                <w:sz w:val="22"/>
                <w:szCs w:val="22"/>
              </w:rPr>
              <w:t>3.904</w:t>
            </w:r>
          </w:p>
        </w:tc>
      </w:tr>
    </w:tbl>
    <w:p w:rsidR="003375AF" w:rsidRPr="00574A0E" w:rsidRDefault="003375AF" w:rsidP="003375AF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574A0E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AC15C3" w:rsidRPr="00574A0E" w:rsidRDefault="002626EC" w:rsidP="004A0A8C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574A0E">
        <w:rPr>
          <w:rFonts w:asciiTheme="majorHAnsi" w:hAnsiTheme="majorHAnsi" w:cstheme="majorHAnsi"/>
          <w:b/>
          <w:iCs/>
          <w:sz w:val="22"/>
          <w:szCs w:val="22"/>
          <w:u w:val="single"/>
        </w:rPr>
        <w:t>*</w:t>
      </w:r>
      <w:r w:rsidR="00D026A0" w:rsidRPr="00574A0E">
        <w:rPr>
          <w:rFonts w:asciiTheme="majorHAnsi" w:hAnsiTheme="majorHAnsi" w:cstheme="majorHAnsi"/>
          <w:b/>
          <w:iCs/>
          <w:sz w:val="22"/>
          <w:szCs w:val="22"/>
          <w:u w:val="single"/>
        </w:rPr>
        <w:t>Natal e Reveillon</w:t>
      </w:r>
      <w:r w:rsidR="00D026A0" w:rsidRPr="00574A0E">
        <w:rPr>
          <w:rFonts w:asciiTheme="majorHAnsi" w:hAnsiTheme="majorHAnsi" w:cstheme="majorHAnsi"/>
          <w:iCs/>
          <w:sz w:val="22"/>
          <w:szCs w:val="22"/>
        </w:rPr>
        <w:t xml:space="preserve"> - entre 20 dez e 02 janeiro de 2021, hospedagem de, no mí</w:t>
      </w:r>
      <w:r w:rsidR="00814D76" w:rsidRPr="00574A0E">
        <w:rPr>
          <w:rFonts w:asciiTheme="majorHAnsi" w:hAnsiTheme="majorHAnsi" w:cstheme="majorHAnsi"/>
          <w:iCs/>
          <w:sz w:val="22"/>
          <w:szCs w:val="22"/>
        </w:rPr>
        <w:t>nim</w:t>
      </w:r>
      <w:r w:rsidR="00D026A0" w:rsidRPr="00574A0E">
        <w:rPr>
          <w:rFonts w:asciiTheme="majorHAnsi" w:hAnsiTheme="majorHAnsi" w:cstheme="majorHAnsi"/>
          <w:iCs/>
          <w:sz w:val="22"/>
          <w:szCs w:val="22"/>
        </w:rPr>
        <w:t xml:space="preserve">o, </w:t>
      </w:r>
      <w:r w:rsidR="00814D76" w:rsidRPr="00574A0E">
        <w:rPr>
          <w:rFonts w:asciiTheme="majorHAnsi" w:hAnsiTheme="majorHAnsi" w:cstheme="majorHAnsi"/>
          <w:iCs/>
          <w:sz w:val="22"/>
          <w:szCs w:val="22"/>
        </w:rPr>
        <w:t>6</w:t>
      </w:r>
      <w:r w:rsidR="00D026A0" w:rsidRPr="00574A0E">
        <w:rPr>
          <w:rFonts w:asciiTheme="majorHAnsi" w:hAnsiTheme="majorHAnsi" w:cstheme="majorHAnsi"/>
          <w:iCs/>
          <w:sz w:val="22"/>
          <w:szCs w:val="22"/>
        </w:rPr>
        <w:t xml:space="preserve"> noites. </w:t>
      </w:r>
      <w:r w:rsidR="00814D76" w:rsidRPr="00574A0E">
        <w:rPr>
          <w:rFonts w:asciiTheme="majorHAnsi" w:hAnsiTheme="majorHAnsi" w:cstheme="majorHAnsi"/>
          <w:iCs/>
          <w:sz w:val="22"/>
          <w:szCs w:val="22"/>
        </w:rPr>
        <w:t xml:space="preserve">Consultar Preço. </w:t>
      </w:r>
    </w:p>
    <w:p w:rsidR="002626EC" w:rsidRPr="00574A0E" w:rsidRDefault="002626EC" w:rsidP="009C2D6A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8F2FC5" w:rsidRDefault="008F2FC5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8F2FC5" w:rsidRDefault="008F2FC5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</w:p>
    <w:p w:rsidR="004A0A8C" w:rsidRPr="004A0A8C" w:rsidRDefault="004A0A8C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A0A8C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B96E3C" w:rsidRPr="004A0A8C" w:rsidRDefault="00B96E3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2405E8" w:rsidRPr="004A0A8C" w:rsidRDefault="002405E8" w:rsidP="002405E8">
      <w:pPr>
        <w:pStyle w:val="ListParagraph"/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en-US"/>
        </w:rPr>
      </w:pPr>
    </w:p>
    <w:p w:rsidR="00E928DC" w:rsidRDefault="00E928DC" w:rsidP="00E928D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8F2FC5" w:rsidRPr="00E928DC" w:rsidRDefault="008F2FC5" w:rsidP="00E928D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2 noites em Santiago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4 noites na Patagônia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Todas as refeições no Tierra Patagonia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Open bar - vinhos e drinques Premium disponíveis com custo adicional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2 explorações de meio dia ou 1 de dia inteiro durante os dias de hospedagem, oferecidas pelo hotel com guias bilíngues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lastRenderedPageBreak/>
        <w:t>Traslados regulares aeroporto de Punta Arenas/Tierra Patagonia/aeroporto-oferecido pelo próprio hotel</w:t>
      </w:r>
    </w:p>
    <w:p w:rsidR="008F2FC5" w:rsidRPr="008F2FC5" w:rsidRDefault="008F2FC5" w:rsidP="008F2FC5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8F2FC5">
        <w:rPr>
          <w:rFonts w:asciiTheme="majorHAnsi" w:hAnsiTheme="majorHAnsi" w:cstheme="majorHAnsi"/>
          <w:sz w:val="22"/>
          <w:szCs w:val="22"/>
          <w:lang w:eastAsia="pt-BR"/>
        </w:rPr>
        <w:t>Traslados privativos em Santiago</w:t>
      </w:r>
      <w:r w:rsidRPr="008F2FC5">
        <w:rPr>
          <w:rFonts w:asciiTheme="majorHAnsi" w:hAnsiTheme="majorHAnsi" w:cstheme="majorHAnsi"/>
          <w:sz w:val="22"/>
          <w:szCs w:val="22"/>
        </w:rPr>
        <w:t xml:space="preserve"> - acompanhado por guia em idioma português</w:t>
      </w:r>
    </w:p>
    <w:p w:rsidR="008F2FC5" w:rsidRDefault="008F2FC5" w:rsidP="008F2FC5">
      <w:pPr>
        <w:rPr>
          <w:rFonts w:asciiTheme="minorHAnsi" w:hAnsiTheme="minorHAnsi" w:cs="Tahoma"/>
          <w:sz w:val="22"/>
          <w:szCs w:val="22"/>
        </w:rPr>
      </w:pPr>
    </w:p>
    <w:p w:rsidR="008F2FC5" w:rsidRPr="00D43271" w:rsidRDefault="008F2FC5" w:rsidP="008F2FC5">
      <w:pPr>
        <w:rPr>
          <w:rFonts w:asciiTheme="minorHAnsi" w:hAnsiTheme="minorHAnsi" w:cs="Tahoma"/>
          <w:sz w:val="22"/>
          <w:szCs w:val="22"/>
        </w:rPr>
      </w:pPr>
    </w:p>
    <w:p w:rsidR="009C2D6A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Passagem aérea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Despesa</w:t>
      </w:r>
      <w:r w:rsidR="00A447C6" w:rsidRPr="004A0A8C">
        <w:rPr>
          <w:rFonts w:asciiTheme="majorHAnsi" w:hAnsiTheme="majorHAnsi" w:cstheme="majorHAnsi"/>
          <w:sz w:val="22"/>
          <w:szCs w:val="22"/>
        </w:rPr>
        <w:t>s</w:t>
      </w:r>
      <w:r w:rsidRPr="004A0A8C">
        <w:rPr>
          <w:rFonts w:asciiTheme="majorHAnsi" w:hAnsiTheme="majorHAnsi" w:cstheme="majorHAnsi"/>
          <w:sz w:val="22"/>
          <w:szCs w:val="22"/>
        </w:rPr>
        <w:t xml:space="preserve"> de caráter pessoal</w:t>
      </w:r>
      <w:r w:rsidR="00A447C6" w:rsidRPr="004A0A8C">
        <w:rPr>
          <w:rFonts w:asciiTheme="majorHAnsi" w:hAnsiTheme="majorHAnsi" w:cstheme="majorHAnsi"/>
          <w:sz w:val="22"/>
          <w:szCs w:val="22"/>
        </w:rPr>
        <w:t>.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Itens mencionados como sugestão</w:t>
      </w:r>
    </w:p>
    <w:p w:rsidR="002405E8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Qualquer outro item não mencionado no documento</w:t>
      </w:r>
      <w:r w:rsidR="00AD317B" w:rsidRPr="004A0A8C">
        <w:rPr>
          <w:rFonts w:asciiTheme="majorHAnsi" w:hAnsiTheme="majorHAnsi" w:cstheme="majorHAnsi"/>
          <w:sz w:val="22"/>
          <w:szCs w:val="22"/>
        </w:rPr>
        <w:t xml:space="preserve"> </w:t>
      </w:r>
      <w:r w:rsidRPr="004A0A8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:rsidR="004A0A8C" w:rsidRPr="00574A0E" w:rsidRDefault="004A0A8C" w:rsidP="004A0A8C">
      <w:pPr>
        <w:ind w:left="7200" w:firstLine="720"/>
        <w:rPr>
          <w:rFonts w:ascii="Calibri" w:eastAsia="Arial Unicode MS" w:hAnsi="Calibri" w:cs="Arial"/>
          <w:kern w:val="2"/>
          <w:sz w:val="20"/>
          <w:szCs w:val="20"/>
          <w:lang w:eastAsia="pt-BR"/>
        </w:rPr>
      </w:pPr>
      <w:r w:rsidRPr="00574A0E">
        <w:rPr>
          <w:rFonts w:ascii="Calibri" w:hAnsi="Calibri" w:cs="Arial"/>
          <w:b/>
          <w:color w:val="111111"/>
          <w:sz w:val="20"/>
          <w:szCs w:val="20"/>
        </w:rPr>
        <w:t>2</w:t>
      </w:r>
      <w:r w:rsidR="0040395B" w:rsidRPr="00574A0E">
        <w:rPr>
          <w:rFonts w:ascii="Calibri" w:hAnsi="Calibri" w:cs="Arial"/>
          <w:b/>
          <w:color w:val="111111"/>
          <w:sz w:val="20"/>
          <w:szCs w:val="20"/>
        </w:rPr>
        <w:t>7</w:t>
      </w:r>
      <w:r w:rsidRPr="00574A0E">
        <w:rPr>
          <w:rFonts w:ascii="Calibri" w:hAnsi="Calibri" w:cs="Arial"/>
          <w:b/>
          <w:color w:val="111111"/>
          <w:sz w:val="20"/>
          <w:szCs w:val="20"/>
        </w:rPr>
        <w:t>/03/2020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3B" w:rsidRDefault="0055693B" w:rsidP="0066228D">
      <w:r>
        <w:separator/>
      </w:r>
    </w:p>
  </w:endnote>
  <w:endnote w:type="continuationSeparator" w:id="1">
    <w:p w:rsidR="0055693B" w:rsidRDefault="0055693B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Default="002022E4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46" w:rsidRDefault="00B8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Pr="000B750F" w:rsidRDefault="002022E4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B84D46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4162BB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3B" w:rsidRDefault="0055693B" w:rsidP="0066228D">
      <w:r>
        <w:separator/>
      </w:r>
    </w:p>
  </w:footnote>
  <w:footnote w:type="continuationSeparator" w:id="1">
    <w:p w:rsidR="0055693B" w:rsidRDefault="0055693B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A40BA5" w:rsidRDefault="00A40BA5" w:rsidP="00B01A2D">
          <w:pPr>
            <w:pStyle w:val="Header"/>
            <w:jc w:val="right"/>
            <w:rPr>
              <w:rFonts w:asciiTheme="majorHAnsi" w:hAnsiTheme="majorHAnsi" w:cstheme="majorHAnsi"/>
              <w:sz w:val="18"/>
              <w:szCs w:val="18"/>
            </w:rPr>
          </w:pPr>
          <w:r w:rsidRPr="00A40BA5">
            <w:rPr>
              <w:rFonts w:asciiTheme="majorHAnsi" w:hAnsiTheme="majorHAnsi" w:cstheme="majorHAnsi"/>
              <w:noProof/>
              <w:sz w:val="20"/>
              <w:szCs w:val="20"/>
              <w:lang w:eastAsia="zh-CN"/>
            </w:rPr>
            <w:t xml:space="preserve">ROTEIRO | </w:t>
          </w:r>
          <w:r w:rsidRPr="00A40BA5">
            <w:rPr>
              <w:rFonts w:asciiTheme="majorHAnsi" w:hAnsiTheme="majorHAnsi" w:cstheme="majorHAnsi"/>
              <w:b/>
              <w:noProof/>
              <w:sz w:val="20"/>
              <w:szCs w:val="20"/>
              <w:lang w:eastAsia="zh-CN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</w:tr>
  </w:tbl>
  <w:p w:rsidR="00B84D46" w:rsidRDefault="00B8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07DE4"/>
    <w:rsid w:val="00016534"/>
    <w:rsid w:val="00070359"/>
    <w:rsid w:val="00090031"/>
    <w:rsid w:val="000904F5"/>
    <w:rsid w:val="000B3269"/>
    <w:rsid w:val="000B4BC1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5723"/>
    <w:rsid w:val="0017596D"/>
    <w:rsid w:val="00186FC6"/>
    <w:rsid w:val="00196571"/>
    <w:rsid w:val="001C4B70"/>
    <w:rsid w:val="001D23B2"/>
    <w:rsid w:val="001F55F6"/>
    <w:rsid w:val="001F6FC6"/>
    <w:rsid w:val="00200BC9"/>
    <w:rsid w:val="002022E4"/>
    <w:rsid w:val="0020307D"/>
    <w:rsid w:val="0021103C"/>
    <w:rsid w:val="00220935"/>
    <w:rsid w:val="00225685"/>
    <w:rsid w:val="0023115C"/>
    <w:rsid w:val="00232998"/>
    <w:rsid w:val="002405E8"/>
    <w:rsid w:val="00250792"/>
    <w:rsid w:val="00250B42"/>
    <w:rsid w:val="00255731"/>
    <w:rsid w:val="002626EC"/>
    <w:rsid w:val="00264CA4"/>
    <w:rsid w:val="00272406"/>
    <w:rsid w:val="00281BA7"/>
    <w:rsid w:val="002856D7"/>
    <w:rsid w:val="00285FF4"/>
    <w:rsid w:val="002B218C"/>
    <w:rsid w:val="002C687B"/>
    <w:rsid w:val="002E7CDA"/>
    <w:rsid w:val="00314925"/>
    <w:rsid w:val="00321B88"/>
    <w:rsid w:val="003375AF"/>
    <w:rsid w:val="00346927"/>
    <w:rsid w:val="00350118"/>
    <w:rsid w:val="00356C15"/>
    <w:rsid w:val="0037765B"/>
    <w:rsid w:val="003A78B7"/>
    <w:rsid w:val="003F028C"/>
    <w:rsid w:val="003F10E6"/>
    <w:rsid w:val="0040395B"/>
    <w:rsid w:val="004162BB"/>
    <w:rsid w:val="00421FDB"/>
    <w:rsid w:val="004245F1"/>
    <w:rsid w:val="0043626B"/>
    <w:rsid w:val="00446AE3"/>
    <w:rsid w:val="004543C0"/>
    <w:rsid w:val="004A0A8C"/>
    <w:rsid w:val="004C0BB8"/>
    <w:rsid w:val="004E1617"/>
    <w:rsid w:val="00513991"/>
    <w:rsid w:val="00533B92"/>
    <w:rsid w:val="00542774"/>
    <w:rsid w:val="0055693B"/>
    <w:rsid w:val="00556E11"/>
    <w:rsid w:val="00567E2F"/>
    <w:rsid w:val="00574A0E"/>
    <w:rsid w:val="00581807"/>
    <w:rsid w:val="00586886"/>
    <w:rsid w:val="00596B54"/>
    <w:rsid w:val="005A1EBE"/>
    <w:rsid w:val="005E7F3F"/>
    <w:rsid w:val="005F4B2B"/>
    <w:rsid w:val="0060767C"/>
    <w:rsid w:val="00632F24"/>
    <w:rsid w:val="00657E37"/>
    <w:rsid w:val="00660895"/>
    <w:rsid w:val="0066228D"/>
    <w:rsid w:val="00662C52"/>
    <w:rsid w:val="00667CD2"/>
    <w:rsid w:val="006A25E3"/>
    <w:rsid w:val="006A2740"/>
    <w:rsid w:val="006C0F58"/>
    <w:rsid w:val="006C5557"/>
    <w:rsid w:val="007032F9"/>
    <w:rsid w:val="00713F18"/>
    <w:rsid w:val="0072127B"/>
    <w:rsid w:val="00737D42"/>
    <w:rsid w:val="00751EAA"/>
    <w:rsid w:val="00791421"/>
    <w:rsid w:val="0079702A"/>
    <w:rsid w:val="007B2D47"/>
    <w:rsid w:val="007C0A63"/>
    <w:rsid w:val="007C2AA8"/>
    <w:rsid w:val="007C4B30"/>
    <w:rsid w:val="007C7B42"/>
    <w:rsid w:val="007D37EC"/>
    <w:rsid w:val="008129A1"/>
    <w:rsid w:val="00814D76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A03B8"/>
    <w:rsid w:val="008B02E5"/>
    <w:rsid w:val="008B4300"/>
    <w:rsid w:val="008F2FC5"/>
    <w:rsid w:val="00965153"/>
    <w:rsid w:val="009C0180"/>
    <w:rsid w:val="009C2D6A"/>
    <w:rsid w:val="009E61C9"/>
    <w:rsid w:val="009F614C"/>
    <w:rsid w:val="00A17750"/>
    <w:rsid w:val="00A222F4"/>
    <w:rsid w:val="00A23141"/>
    <w:rsid w:val="00A27600"/>
    <w:rsid w:val="00A40BA5"/>
    <w:rsid w:val="00A41C63"/>
    <w:rsid w:val="00A447C6"/>
    <w:rsid w:val="00A81925"/>
    <w:rsid w:val="00A83A18"/>
    <w:rsid w:val="00A85C66"/>
    <w:rsid w:val="00AC15C3"/>
    <w:rsid w:val="00AD317B"/>
    <w:rsid w:val="00B01A2D"/>
    <w:rsid w:val="00B05AC5"/>
    <w:rsid w:val="00B22871"/>
    <w:rsid w:val="00B4260C"/>
    <w:rsid w:val="00B44F14"/>
    <w:rsid w:val="00B80439"/>
    <w:rsid w:val="00B81738"/>
    <w:rsid w:val="00B842B3"/>
    <w:rsid w:val="00B84D46"/>
    <w:rsid w:val="00B96E3C"/>
    <w:rsid w:val="00BA06F3"/>
    <w:rsid w:val="00BB541E"/>
    <w:rsid w:val="00BE6F0D"/>
    <w:rsid w:val="00C0529C"/>
    <w:rsid w:val="00C05543"/>
    <w:rsid w:val="00C5597D"/>
    <w:rsid w:val="00C603C9"/>
    <w:rsid w:val="00C720CF"/>
    <w:rsid w:val="00CA1065"/>
    <w:rsid w:val="00CA7106"/>
    <w:rsid w:val="00CC6A50"/>
    <w:rsid w:val="00CD62EF"/>
    <w:rsid w:val="00CF4A57"/>
    <w:rsid w:val="00D01520"/>
    <w:rsid w:val="00D026A0"/>
    <w:rsid w:val="00D103BF"/>
    <w:rsid w:val="00D46297"/>
    <w:rsid w:val="00D71C29"/>
    <w:rsid w:val="00D8394A"/>
    <w:rsid w:val="00D91E65"/>
    <w:rsid w:val="00DE77AB"/>
    <w:rsid w:val="00E04A78"/>
    <w:rsid w:val="00E10E1D"/>
    <w:rsid w:val="00E152CB"/>
    <w:rsid w:val="00E420DD"/>
    <w:rsid w:val="00E51CBD"/>
    <w:rsid w:val="00E9127D"/>
    <w:rsid w:val="00E928DC"/>
    <w:rsid w:val="00EB4D89"/>
    <w:rsid w:val="00EC0FB7"/>
    <w:rsid w:val="00ED7F09"/>
    <w:rsid w:val="00EF4CF8"/>
    <w:rsid w:val="00EF513E"/>
    <w:rsid w:val="00EF5E3A"/>
    <w:rsid w:val="00F0089B"/>
    <w:rsid w:val="00F02857"/>
    <w:rsid w:val="00F15BAD"/>
    <w:rsid w:val="00F54566"/>
    <w:rsid w:val="00F8196D"/>
    <w:rsid w:val="00F917E8"/>
    <w:rsid w:val="00F970B9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Emphasis">
    <w:name w:val="Emphasis"/>
    <w:basedOn w:val="DefaultParagraphFont"/>
    <w:qFormat/>
    <w:rsid w:val="004A0A8C"/>
    <w:rPr>
      <w:i/>
      <w:iCs/>
    </w:rPr>
  </w:style>
  <w:style w:type="character" w:styleId="Strong">
    <w:name w:val="Strong"/>
    <w:basedOn w:val="DefaultParagraphFont"/>
    <w:uiPriority w:val="22"/>
    <w:qFormat/>
    <w:rsid w:val="004A0A8C"/>
    <w:rPr>
      <w:b/>
      <w:bCs/>
    </w:rPr>
  </w:style>
  <w:style w:type="paragraph" w:customStyle="1" w:styleId="Ttulo11">
    <w:name w:val="Título 11"/>
    <w:basedOn w:val="Normal"/>
    <w:next w:val="Normal"/>
    <w:rsid w:val="008F2FC5"/>
    <w:pPr>
      <w:keepNext/>
      <w:widowControl w:val="0"/>
      <w:tabs>
        <w:tab w:val="num" w:pos="720"/>
      </w:tabs>
      <w:suppressAutoHyphens/>
      <w:ind w:left="-4680"/>
    </w:pPr>
    <w:rPr>
      <w:rFonts w:ascii="Verdana" w:eastAsia="Arial Unicode MS" w:hAnsi="Verdana" w:cs="Verdana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10</TotalTime>
  <Pages>1</Pages>
  <Words>683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4365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15</cp:revision>
  <cp:lastPrinted>2019-12-13T17:41:00Z</cp:lastPrinted>
  <dcterms:created xsi:type="dcterms:W3CDTF">2020-03-27T18:08:00Z</dcterms:created>
  <dcterms:modified xsi:type="dcterms:W3CDTF">2020-03-30T12:22:00Z</dcterms:modified>
</cp:coreProperties>
</file>