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DD" w:rsidRDefault="00385361"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Les Sources de Caudalie &amp; Dordogne - 20</w:t>
      </w:r>
      <w:r w:rsidR="009A1B4D">
        <w:rPr>
          <w:rFonts w:ascii="Calibri" w:hAnsi="Calibri" w:cs="Arial"/>
          <w:b/>
          <w:bCs/>
          <w:sz w:val="22"/>
          <w:szCs w:val="22"/>
        </w:rPr>
        <w:t>20</w:t>
      </w:r>
    </w:p>
    <w:p w:rsidR="00EB33DD" w:rsidRDefault="00385361"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St. Émilion - Sarlat - Brantôme </w:t>
      </w:r>
    </w:p>
    <w:p w:rsidR="00EB33DD" w:rsidRDefault="00385361"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8 dias</w:t>
      </w:r>
    </w:p>
    <w:p w:rsidR="00EB33DD" w:rsidRDefault="00EB33DD">
      <w:pPr>
        <w:shd w:val="clear" w:color="auto" w:fill="FFFFFF"/>
        <w:spacing w:line="276" w:lineRule="auto"/>
        <w:rPr>
          <w:rFonts w:ascii="Calibri" w:hAnsi="Calibri" w:cs="Arial"/>
          <w:i/>
          <w:iCs/>
          <w:sz w:val="22"/>
          <w:szCs w:val="22"/>
        </w:rPr>
      </w:pPr>
    </w:p>
    <w:p w:rsidR="00EB33DD" w:rsidRDefault="00385361">
      <w:pPr>
        <w:shd w:val="clear" w:color="auto" w:fill="FFFFFF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t-BR"/>
        </w:rPr>
        <w:drawing>
          <wp:inline distT="0" distB="0" distL="0" distR="0">
            <wp:extent cx="6430010" cy="291211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3DD" w:rsidRDefault="00EB33DD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EB33DD" w:rsidRDefault="003853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1º dia - Bordeaux</w:t>
      </w:r>
    </w:p>
    <w:p w:rsidR="00EB33DD" w:rsidRDefault="003853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Chegada ao hotel e vinícola Les Sources de Caudalie, situado a 20 minutos de Bordeaux Hospedagem por 2 noites, com café da manhã.</w:t>
      </w:r>
    </w:p>
    <w:p w:rsidR="00EB33DD" w:rsidRDefault="00EB33DD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EB33DD" w:rsidRDefault="003853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2º dia - Bordeaux</w:t>
      </w:r>
    </w:p>
    <w:p w:rsidR="00EB33DD" w:rsidRDefault="003853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Dia livre para atividades independentes.</w:t>
      </w:r>
    </w:p>
    <w:p w:rsidR="00EB33DD" w:rsidRDefault="00EB33DD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EB33DD" w:rsidRDefault="003853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3º dia - Bordeaux - St. Émilion</w:t>
      </w:r>
    </w:p>
    <w:p w:rsidR="00EB33DD" w:rsidRDefault="003853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Viagem em direção a Saint Émilion. No roteiro dos melhores vinhos franceses, Saint-Émilion é visita obrigatória. Situada a apenas 35 quilômetros do centro de Bordeaux, a cidade conta com mais de 900 vinícolas. Mas não é só pelo vinho que a cidade se destaca. Declarada patrimônio universal pela Unesco em 1999, Saint-Émilion guarda monumentos e vestígios da época romana, como uma igreja monolítica totalmente esculpida em rocha, catacumbas e a maior igreja subterrânea localizada na Europa, também esculpida em pedra durante o século XI. Hospedagem por 2 noites, com café da manhã.</w:t>
      </w:r>
    </w:p>
    <w:p w:rsidR="00EB33DD" w:rsidRDefault="00EB33DD">
      <w:pPr>
        <w:jc w:val="both"/>
        <w:rPr>
          <w:rFonts w:ascii="Calibri" w:hAnsi="Calibri" w:cs="Tahoma"/>
          <w:bCs/>
          <w:sz w:val="22"/>
          <w:szCs w:val="22"/>
        </w:rPr>
      </w:pPr>
    </w:p>
    <w:p w:rsidR="00EB33DD" w:rsidRDefault="003853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4º dia - St. Émilion</w:t>
      </w:r>
    </w:p>
    <w:p w:rsidR="00EB33DD" w:rsidRDefault="003853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Na Place de Crénaux, no centro, ficam as atrações mais importantes da cidade: as catacumbas do século XIV, local onde eram enterradas as pessoas mais importantes da cidade e a igreja monolítica- construída com um único bloco de pedra, ambas subterrâneas.  Nessa igreja encontra-se o corpo do monge beneditino Émilion. Ainda hoje é possível ver as marcas e pinturas nas paredes da igreja, que foi parcialmente destruída durante a revolução. À tarde, sugerimos visita as vinícolas da região (Figeac, Angelus, Canon).</w:t>
      </w:r>
    </w:p>
    <w:p w:rsidR="00EB33DD" w:rsidRDefault="00EB33DD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EB33DD" w:rsidRDefault="00EB33DD">
      <w:pPr>
        <w:jc w:val="both"/>
        <w:rPr>
          <w:rFonts w:cs="Tahoma"/>
          <w:b/>
          <w:bCs/>
        </w:rPr>
      </w:pPr>
    </w:p>
    <w:p w:rsidR="00EB33DD" w:rsidRDefault="00EB33DD">
      <w:pPr>
        <w:jc w:val="both"/>
        <w:rPr>
          <w:rFonts w:cs="Tahoma"/>
          <w:b/>
          <w:bCs/>
        </w:rPr>
      </w:pPr>
    </w:p>
    <w:p w:rsidR="00EB33DD" w:rsidRDefault="003853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lastRenderedPageBreak/>
        <w:t xml:space="preserve">5º dia - St. Émilion - Sarlat </w:t>
      </w:r>
    </w:p>
    <w:p w:rsidR="00EB33DD" w:rsidRDefault="003853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Viagem com destino a Sarlat - considerada a capital do Perigord Noir,  passando pelo vale do Rio Dordogne, uma das mais autênticas e bem preservadas cidades francesas, com charmosas ruelas e sua magnífica Abadia Beneditina.  Existem inúmeros lugares que podem ser explorados nessa região – La Roque Gageac, Beynac, Castelnaud, jardins de Marqueyssac e outros. Hospedagem por 2 noites, com café da manhã.</w:t>
      </w:r>
    </w:p>
    <w:p w:rsidR="00EB33DD" w:rsidRDefault="00EB33DD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EB33DD" w:rsidRDefault="00EB33DD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EB33DD" w:rsidRDefault="003853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6º dia - Sarlat - Rocamadour - Sarlat</w:t>
      </w:r>
    </w:p>
    <w:p w:rsidR="00EB33DD" w:rsidRDefault="003853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  <w:lang w:val="pt-PT"/>
        </w:rPr>
        <w:t xml:space="preserve">O charmoso vilarejo de Rocamadour região de Dordogne, foi construído em três níveis. No nível superior encontra-se o castelo entre os prédios de peregrinação e capelas e abaixo lojas e restaurantes. </w:t>
      </w:r>
    </w:p>
    <w:p w:rsidR="00EB33DD" w:rsidRDefault="00EB33DD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EB33DD" w:rsidRDefault="003853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7º dia - Sarlat - Brantôme </w:t>
      </w:r>
    </w:p>
    <w:p w:rsidR="00EB33DD" w:rsidRDefault="003853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Após o café da manhã, viagem em direção a Brantôme, um dos mais belos vilarejos da região de Dordogne. Sugerimos conhecer a região de Les Eyzies and Lascaux com suas famosas cavernas e pinturas rupestres, ou visitar uma típica fazenda de gansos onde é fabricado o famoso foie gras.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 w:cs="Tahoma"/>
          <w:bCs/>
          <w:sz w:val="22"/>
          <w:szCs w:val="22"/>
        </w:rPr>
        <w:t>Perigueux - a aprox. 30 minutos, de Brantôme é uma antiga cidade fundada por romanos com lindos prédios antigos, bares, restaurantes e agitada vida noturna. Outras cidades e vilarejos indicados para visita: St-Jean-de-Cole, St-Amand-de-Coly, St-Leon-sur-Vezere, e Angoulême que possui um belo centro medieval construído na parte alta da cidade com espetaculares vistas da região de Cognac. Chegada a Brantôme. Hospedagem por 1 noite,</w:t>
      </w:r>
    </w:p>
    <w:p w:rsidR="00EB33DD" w:rsidRDefault="003853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com café da manhã. </w:t>
      </w:r>
    </w:p>
    <w:p w:rsidR="00EB33DD" w:rsidRDefault="00EB33DD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EB33DD" w:rsidRDefault="003853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8º dia - Brantôme </w:t>
      </w:r>
    </w:p>
    <w:p w:rsidR="00EB33DD" w:rsidRDefault="00385361">
      <w:pPr>
        <w:jc w:val="both"/>
      </w:pPr>
      <w:r>
        <w:rPr>
          <w:rFonts w:ascii="Calibri" w:eastAsia="Times New Roman" w:hAnsi="Calibri" w:cs="Tahoma"/>
          <w:sz w:val="22"/>
          <w:szCs w:val="22"/>
          <w:highlight w:val="white"/>
        </w:rPr>
        <w:t>Café da manhã no hotel.</w:t>
      </w:r>
    </w:p>
    <w:p w:rsidR="00EB33DD" w:rsidRDefault="00EB33DD">
      <w:pPr>
        <w:shd w:val="clear" w:color="auto" w:fill="FFFFFF"/>
        <w:tabs>
          <w:tab w:val="left" w:pos="-1319"/>
        </w:tabs>
        <w:jc w:val="both"/>
        <w:rPr>
          <w:rFonts w:ascii="Calibri" w:hAnsi="Calibri" w:cs="Tahoma"/>
          <w:b/>
          <w:bCs/>
          <w:sz w:val="22"/>
          <w:szCs w:val="22"/>
          <w:highlight w:val="white"/>
        </w:rPr>
      </w:pPr>
    </w:p>
    <w:p w:rsidR="00EB33DD" w:rsidRDefault="00EB33DD">
      <w:pPr>
        <w:shd w:val="clear" w:color="auto" w:fill="FFFFFF"/>
        <w:spacing w:line="276" w:lineRule="auto"/>
        <w:rPr>
          <w:rFonts w:ascii="Calibri" w:hAnsi="Calibri" w:cs="Arial"/>
          <w:b/>
          <w:iCs/>
          <w:sz w:val="22"/>
          <w:szCs w:val="22"/>
        </w:rPr>
      </w:pPr>
    </w:p>
    <w:tbl>
      <w:tblPr>
        <w:tblW w:w="9072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4"/>
        <w:gridCol w:w="2382"/>
        <w:gridCol w:w="1529"/>
        <w:gridCol w:w="2323"/>
        <w:gridCol w:w="1024"/>
      </w:tblGrid>
      <w:tr w:rsidR="00EB33DD">
        <w:trPr>
          <w:trHeight w:val="356"/>
        </w:trPr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23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232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TIPO DE ACOMODAÇÃO</w:t>
            </w:r>
          </w:p>
        </w:tc>
        <w:tc>
          <w:tcPr>
            <w:tcW w:w="102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NOITES</w:t>
            </w:r>
          </w:p>
        </w:tc>
      </w:tr>
      <w:tr w:rsidR="00EB33DD">
        <w:trPr>
          <w:trHeight w:val="326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Bordeaux</w:t>
            </w:r>
          </w:p>
        </w:tc>
        <w:tc>
          <w:tcPr>
            <w:tcW w:w="23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Les Sources de Caudalie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szCs w:val="22"/>
                <w:lang w:eastAsia="pt-BR" w:bidi="pt-BR"/>
              </w:rPr>
              <w:t>2</w:t>
            </w:r>
          </w:p>
        </w:tc>
        <w:tc>
          <w:tcPr>
            <w:tcW w:w="10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Bordeaux</w:t>
            </w:r>
          </w:p>
        </w:tc>
      </w:tr>
      <w:tr w:rsidR="00EB33DD">
        <w:trPr>
          <w:trHeight w:val="326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Saint Émilion</w:t>
            </w:r>
          </w:p>
        </w:tc>
        <w:tc>
          <w:tcPr>
            <w:tcW w:w="23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Grand Barrail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Luxo</w:t>
            </w:r>
          </w:p>
        </w:tc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szCs w:val="22"/>
                <w:lang w:eastAsia="pt-BR" w:bidi="pt-BR"/>
              </w:rPr>
              <w:t>2</w:t>
            </w:r>
          </w:p>
        </w:tc>
        <w:tc>
          <w:tcPr>
            <w:tcW w:w="10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Saint Émilion</w:t>
            </w:r>
          </w:p>
        </w:tc>
      </w:tr>
      <w:tr w:rsidR="00EB33DD">
        <w:trPr>
          <w:trHeight w:val="326"/>
        </w:trPr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Sarlat</w:t>
            </w:r>
          </w:p>
        </w:tc>
        <w:tc>
          <w:tcPr>
            <w:tcW w:w="23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Clos la Boetie 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Luxo</w:t>
            </w:r>
          </w:p>
        </w:tc>
        <w:tc>
          <w:tcPr>
            <w:tcW w:w="232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szCs w:val="22"/>
                <w:lang w:eastAsia="pt-BR" w:bidi="pt-BR"/>
              </w:rPr>
              <w:t>2</w:t>
            </w:r>
          </w:p>
        </w:tc>
        <w:tc>
          <w:tcPr>
            <w:tcW w:w="102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Sarlat</w:t>
            </w:r>
          </w:p>
        </w:tc>
      </w:tr>
      <w:tr w:rsidR="00EB33DD">
        <w:trPr>
          <w:trHeight w:val="326"/>
        </w:trPr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Brantôme</w:t>
            </w:r>
          </w:p>
        </w:tc>
        <w:tc>
          <w:tcPr>
            <w:tcW w:w="23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Moulin de L’Abbaye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Luxo</w:t>
            </w:r>
          </w:p>
        </w:tc>
        <w:tc>
          <w:tcPr>
            <w:tcW w:w="232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szCs w:val="22"/>
                <w:lang w:eastAsia="pt-BR" w:bidi="pt-BR"/>
              </w:rPr>
              <w:t>1</w:t>
            </w:r>
          </w:p>
        </w:tc>
        <w:tc>
          <w:tcPr>
            <w:tcW w:w="102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B33DD" w:rsidRDefault="00385361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Brantôme</w:t>
            </w:r>
          </w:p>
        </w:tc>
      </w:tr>
    </w:tbl>
    <w:p w:rsidR="00EB33DD" w:rsidRDefault="00EB33DD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EB33DD" w:rsidRDefault="00EB33DD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EB33DD" w:rsidRDefault="00385361">
      <w:pPr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Preço do roteiro terrestre, por pessoa, em Euro</w:t>
      </w: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EB33DD" w:rsidTr="00EB33DD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EB33DD" w:rsidRDefault="00385361">
            <w:pPr>
              <w:shd w:val="clear" w:color="auto" w:fill="FFFFFF"/>
              <w:spacing w:line="276" w:lineRule="auto"/>
              <w:rPr>
                <w:rFonts w:cs="Arial"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 w:val="0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EB33DD" w:rsidRDefault="00385361">
            <w:pPr>
              <w:shd w:val="clear" w:color="auto" w:fill="FFFFFF"/>
              <w:spacing w:line="276" w:lineRule="auto"/>
            </w:pPr>
            <w:r>
              <w:rPr>
                <w:rFonts w:ascii="Calibri" w:hAnsi="Calibri"/>
                <w:b/>
                <w:bCs/>
                <w:i w:val="0"/>
                <w:sz w:val="22"/>
              </w:rPr>
              <w:t>Até dez 2019</w:t>
            </w:r>
          </w:p>
        </w:tc>
      </w:tr>
      <w:tr w:rsidR="00EB33DD" w:rsidTr="00EB33DD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B33DD" w:rsidRDefault="00385361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B33DD" w:rsidRDefault="00385361">
            <w:pPr>
              <w:shd w:val="clear" w:color="auto" w:fill="FFFFFF"/>
            </w:pPr>
            <w:r>
              <w:rPr>
                <w:rFonts w:ascii="Calibri" w:hAnsi="Calibri"/>
                <w:b/>
                <w:sz w:val="22"/>
              </w:rPr>
              <w:t>a partir de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 w:cs="Tahoma"/>
                <w:sz w:val="22"/>
              </w:rPr>
              <w:t>€ 2.610</w:t>
            </w:r>
          </w:p>
        </w:tc>
      </w:tr>
    </w:tbl>
    <w:p w:rsidR="00EB33DD" w:rsidRDefault="00EB33DD">
      <w:pPr>
        <w:shd w:val="clear" w:color="auto" w:fill="FFFFFF"/>
        <w:spacing w:line="276" w:lineRule="auto"/>
        <w:rPr>
          <w:rFonts w:ascii="Calibri" w:hAnsi="Calibri" w:cs="Arial"/>
          <w:iCs/>
          <w:sz w:val="22"/>
          <w:szCs w:val="22"/>
        </w:rPr>
      </w:pPr>
    </w:p>
    <w:p w:rsidR="00EB33DD" w:rsidRDefault="00EB33DD">
      <w:pPr>
        <w:shd w:val="clear" w:color="auto" w:fill="FFFFFF"/>
        <w:spacing w:line="276" w:lineRule="auto"/>
        <w:rPr>
          <w:rFonts w:ascii="Calibri" w:hAnsi="Calibri" w:cs="Arial"/>
          <w:b/>
          <w:iCs/>
          <w:sz w:val="22"/>
          <w:szCs w:val="22"/>
        </w:rPr>
      </w:pPr>
    </w:p>
    <w:p w:rsidR="00EB33DD" w:rsidRDefault="00EB33DD">
      <w:pPr>
        <w:shd w:val="clear" w:color="auto" w:fill="FFFFFF"/>
        <w:spacing w:line="276" w:lineRule="auto"/>
        <w:rPr>
          <w:rFonts w:ascii="Calibri" w:hAnsi="Calibri" w:cs="Arial"/>
          <w:iCs/>
          <w:sz w:val="22"/>
          <w:szCs w:val="22"/>
        </w:rPr>
      </w:pPr>
    </w:p>
    <w:p w:rsidR="00EB33DD" w:rsidRDefault="00385361">
      <w:pPr>
        <w:shd w:val="clear" w:color="auto" w:fill="FFFFFF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EB33DD" w:rsidRDefault="00EB33DD">
      <w:pPr>
        <w:shd w:val="clear" w:color="auto" w:fill="FFFFFF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B33DD" w:rsidRDefault="00385361">
      <w:pPr>
        <w:tabs>
          <w:tab w:val="left" w:pos="525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Observação:</w:t>
      </w:r>
    </w:p>
    <w:p w:rsidR="00EB33DD" w:rsidRDefault="003853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 hotéis mencionados acima incluem taxas locais.</w:t>
      </w:r>
    </w:p>
    <w:p w:rsidR="00EB33DD" w:rsidRDefault="003853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 critério internacional de horários de entrada e saída dos hotéis, normalmente é:</w:t>
      </w:r>
    </w:p>
    <w:p w:rsidR="00EB33DD" w:rsidRDefault="0038536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Check-in</w:t>
      </w:r>
      <w:r>
        <w:rPr>
          <w:rFonts w:ascii="Calibri" w:hAnsi="Calibri" w:cs="Tahoma"/>
          <w:sz w:val="22"/>
          <w:szCs w:val="22"/>
        </w:rPr>
        <w:t>: 14h00 e 15h00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>Check-out</w:t>
      </w:r>
      <w:r>
        <w:rPr>
          <w:rFonts w:ascii="Calibri" w:hAnsi="Calibri" w:cs="Tahoma"/>
          <w:sz w:val="22"/>
          <w:szCs w:val="22"/>
        </w:rPr>
        <w:t>: 11h00 e 12h00</w:t>
      </w:r>
    </w:p>
    <w:p w:rsidR="00EB33DD" w:rsidRDefault="00EB33DD">
      <w:pPr>
        <w:pStyle w:val="Dia-Descrio"/>
        <w:ind w:left="0"/>
        <w:outlineLvl w:val="0"/>
        <w:rPr>
          <w:rFonts w:ascii="Calibri" w:hAnsi="Calibri" w:cs="Tahoma"/>
          <w:b/>
          <w:bCs/>
          <w:color w:val="auto"/>
          <w:sz w:val="22"/>
          <w:szCs w:val="22"/>
        </w:rPr>
      </w:pPr>
    </w:p>
    <w:p w:rsidR="00EB33DD" w:rsidRDefault="00385361">
      <w:pPr>
        <w:pStyle w:val="Dia-Descrio"/>
        <w:ind w:left="0"/>
        <w:outlineLvl w:val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b/>
          <w:bCs/>
          <w:color w:val="auto"/>
          <w:sz w:val="22"/>
          <w:szCs w:val="22"/>
        </w:rPr>
        <w:t>O programa inclui:</w:t>
      </w:r>
    </w:p>
    <w:p w:rsidR="00EB33DD" w:rsidRDefault="00385361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2 noites em Bordeaux</w:t>
      </w:r>
    </w:p>
    <w:p w:rsidR="00EB33DD" w:rsidRDefault="00385361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2 noites em Saint Émilion</w:t>
      </w:r>
    </w:p>
    <w:p w:rsidR="00EB33DD" w:rsidRDefault="00385361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2 noites em Sarlat</w:t>
      </w:r>
    </w:p>
    <w:p w:rsidR="00EB33DD" w:rsidRDefault="00385361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1 noite em Brantôme</w:t>
      </w:r>
    </w:p>
    <w:p w:rsidR="00EB33DD" w:rsidRDefault="00385361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Café da manhã diário</w:t>
      </w:r>
    </w:p>
    <w:p w:rsidR="00EB33DD" w:rsidRDefault="00385361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Locação de carro em categoria intermediária</w:t>
      </w:r>
    </w:p>
    <w:p w:rsidR="00EB33DD" w:rsidRDefault="00EB33DD">
      <w:pPr>
        <w:ind w:left="284"/>
        <w:rPr>
          <w:rFonts w:ascii="Calibri" w:hAnsi="Calibri" w:cs="Tahoma"/>
          <w:b/>
          <w:bCs/>
          <w:sz w:val="22"/>
          <w:szCs w:val="22"/>
        </w:rPr>
      </w:pPr>
    </w:p>
    <w:p w:rsidR="00EB33DD" w:rsidRDefault="00385361">
      <w:pPr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O roteiro não inclui:</w:t>
      </w:r>
    </w:p>
    <w:p w:rsidR="00EB33DD" w:rsidRDefault="0038536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Passagem aérea </w:t>
      </w:r>
    </w:p>
    <w:p w:rsidR="00EB33DD" w:rsidRDefault="0038536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>Despesas com documentos e vistos</w:t>
      </w:r>
    </w:p>
    <w:p w:rsidR="00EB33DD" w:rsidRDefault="0038536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>Despesas de caráter pessoal, gorjetas, telefonemas, etc.</w:t>
      </w:r>
    </w:p>
    <w:p w:rsidR="00EB33DD" w:rsidRDefault="00385361">
      <w:pPr>
        <w:numPr>
          <w:ilvl w:val="0"/>
          <w:numId w:val="1"/>
        </w:numPr>
        <w:tabs>
          <w:tab w:val="clear" w:pos="720"/>
        </w:tabs>
        <w:ind w:left="284" w:hanging="284"/>
      </w:pPr>
      <w:r>
        <w:rPr>
          <w:rFonts w:ascii="Calibri" w:eastAsia="DejaVu Sans" w:hAnsi="Calibri" w:cs="Tahoma"/>
          <w:sz w:val="22"/>
          <w:szCs w:val="22"/>
          <w:highlight w:val="white"/>
          <w:lang w:eastAsia="pt-BR" w:bidi="pt-BR"/>
        </w:rPr>
        <w:t>Qualquer item que não esteja no programa</w:t>
      </w:r>
    </w:p>
    <w:p w:rsidR="00EB33DD" w:rsidRDefault="00EB33DD">
      <w:pPr>
        <w:tabs>
          <w:tab w:val="left" w:pos="-2880"/>
        </w:tabs>
        <w:jc w:val="both"/>
        <w:rPr>
          <w:rFonts w:ascii="Calibri" w:eastAsia="DejaVu Sans" w:hAnsi="Calibri" w:cs="Tahoma"/>
          <w:sz w:val="22"/>
          <w:szCs w:val="22"/>
          <w:lang w:eastAsia="pt-BR" w:bidi="pt-BR"/>
        </w:rPr>
      </w:pPr>
    </w:p>
    <w:p w:rsidR="00EB33DD" w:rsidRDefault="00385361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EB33DD" w:rsidRDefault="0038536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Passaporte: </w:t>
      </w:r>
      <w:r>
        <w:rPr>
          <w:rFonts w:ascii="Calibri" w:hAnsi="Calibri"/>
          <w:sz w:val="22"/>
          <w:szCs w:val="22"/>
          <w:lang w:eastAsia="pt-BR" w:bidi="pt-BR"/>
        </w:rPr>
        <w:t>validade mínima de 6 meses da data de embarque com 2 páginas em branco</w:t>
      </w:r>
    </w:p>
    <w:p w:rsidR="00EB33DD" w:rsidRDefault="0038536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>Visto: não é necessário visto para a França</w:t>
      </w:r>
    </w:p>
    <w:p w:rsidR="00EB33DD" w:rsidRDefault="00385361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 w:cs="Arial"/>
          <w:bCs/>
          <w:iCs/>
          <w:sz w:val="22"/>
          <w:szCs w:val="22"/>
          <w:lang w:eastAsia="pt-BR"/>
        </w:rPr>
        <w:t>Vacina: não é necessário</w:t>
      </w:r>
    </w:p>
    <w:p w:rsidR="00EB33DD" w:rsidRDefault="00EB33DD">
      <w:pPr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</w:p>
    <w:p w:rsidR="00EB33DD" w:rsidRDefault="00EB33DD">
      <w:pPr>
        <w:shd w:val="clear" w:color="auto" w:fill="FFFFFF"/>
        <w:tabs>
          <w:tab w:val="left" w:pos="42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EB33DD" w:rsidRDefault="00385361">
      <w:pPr>
        <w:shd w:val="clear" w:color="auto" w:fill="FFFFFF"/>
        <w:tabs>
          <w:tab w:val="left" w:pos="420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Valores em Euro por pessoa, sujeitos à disponibilidade e alteração sem aviso prévio.</w:t>
      </w:r>
    </w:p>
    <w:p w:rsidR="00EB33DD" w:rsidRDefault="00385361">
      <w:pPr>
        <w:shd w:val="clear" w:color="auto" w:fill="FFFFFF"/>
        <w:tabs>
          <w:tab w:val="left" w:pos="420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07/01/2020</w:t>
      </w:r>
    </w:p>
    <w:sectPr w:rsidR="00EB33DD" w:rsidSect="00EB33DD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DD" w:rsidRDefault="00EB33DD" w:rsidP="00EB33DD">
      <w:r>
        <w:separator/>
      </w:r>
    </w:p>
  </w:endnote>
  <w:endnote w:type="continuationSeparator" w:id="0">
    <w:p w:rsidR="00EB33DD" w:rsidRDefault="00EB33DD" w:rsidP="00EB3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31"/>
      <w:gridCol w:w="8755"/>
    </w:tblGrid>
    <w:tr w:rsidR="00EB33DD">
      <w:trPr>
        <w:trHeight w:val="281"/>
      </w:trPr>
      <w:tc>
        <w:tcPr>
          <w:tcW w:w="306" w:type="dxa"/>
          <w:vMerge w:val="restart"/>
          <w:shd w:val="clear" w:color="auto" w:fill="auto"/>
          <w:vAlign w:val="center"/>
        </w:tcPr>
        <w:p w:rsidR="00EB33DD" w:rsidRDefault="00385361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23405">
            <w:pict>
              <v:rect id="Figura1" o:spid="_x0000_s1026" style="position:absolute;left:0;text-align:left;margin-left:0;margin-top:.05pt;width:15.6pt;height:9.1pt;z-index:251657216;mso-position-horizontal:center;mso-position-horizontal-relative:text;mso-position-vertical-relative:text" filled="f" stroked="f" strokecolor="#3465a4">
                <v:fill o:detectmouseclick="t"/>
                <v:stroke joinstyle="round"/>
                <v:textbox>
                  <w:txbxContent>
                    <w:p w:rsidR="00EB33DD" w:rsidRDefault="00023405">
                      <w:pPr>
                        <w:pStyle w:val="Footer"/>
                      </w:pPr>
                      <w:r w:rsidRPr="00023405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385361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9A1B4D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023405">
            <w:pict>
              <v:rect id="Figura2" o:spid="_x0000_s1025" style="position:absolute;left:0;text-align:left;margin-left:315.05pt;margin-top:-2.85pt;width:15.6pt;height:13.9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EB33DD" w:rsidRDefault="00EB33DD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3" w:type="dxa"/>
          <w:shd w:val="clear" w:color="auto" w:fill="auto"/>
          <w:vAlign w:val="center"/>
        </w:tcPr>
        <w:p w:rsidR="00EB33DD" w:rsidRDefault="00EB33DD">
          <w:pPr>
            <w:pStyle w:val="Footer"/>
            <w:jc w:val="center"/>
          </w:pPr>
        </w:p>
      </w:tc>
    </w:tr>
    <w:tr w:rsidR="00EB33DD">
      <w:trPr>
        <w:trHeight w:val="281"/>
      </w:trPr>
      <w:tc>
        <w:tcPr>
          <w:tcW w:w="306" w:type="dxa"/>
          <w:vMerge/>
          <w:shd w:val="clear" w:color="auto" w:fill="auto"/>
          <w:vAlign w:val="center"/>
        </w:tcPr>
        <w:p w:rsidR="00EB33DD" w:rsidRDefault="00EB33DD">
          <w:pPr>
            <w:pStyle w:val="Footer"/>
            <w:jc w:val="center"/>
          </w:pPr>
        </w:p>
      </w:tc>
      <w:tc>
        <w:tcPr>
          <w:tcW w:w="8763" w:type="dxa"/>
          <w:shd w:val="clear" w:color="auto" w:fill="auto"/>
          <w:vAlign w:val="center"/>
        </w:tcPr>
        <w:p w:rsidR="00EB33DD" w:rsidRDefault="00385361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EB33DD" w:rsidRDefault="00EB33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DD" w:rsidRDefault="00EB33DD" w:rsidP="00EB33DD">
      <w:r>
        <w:separator/>
      </w:r>
    </w:p>
  </w:footnote>
  <w:footnote w:type="continuationSeparator" w:id="0">
    <w:p w:rsidR="00EB33DD" w:rsidRDefault="00EB33DD" w:rsidP="00EB3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1"/>
      <w:gridCol w:w="1721"/>
      <w:gridCol w:w="4553"/>
    </w:tblGrid>
    <w:tr w:rsidR="00EB33DD">
      <w:trPr>
        <w:trHeight w:val="704"/>
      </w:trPr>
      <w:tc>
        <w:tcPr>
          <w:tcW w:w="2801" w:type="dxa"/>
          <w:shd w:val="clear" w:color="auto" w:fill="auto"/>
          <w:vAlign w:val="center"/>
        </w:tcPr>
        <w:p w:rsidR="00EB33DD" w:rsidRDefault="0038536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1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EB33DD" w:rsidRDefault="00EB33DD">
          <w:pPr>
            <w:pStyle w:val="Header"/>
            <w:jc w:val="center"/>
          </w:pPr>
        </w:p>
      </w:tc>
      <w:tc>
        <w:tcPr>
          <w:tcW w:w="4553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EB33DD" w:rsidRDefault="00385361">
          <w:pPr>
            <w:pStyle w:val="Header"/>
            <w:jc w:val="right"/>
          </w:pPr>
          <w:r>
            <w:rPr>
              <w:rFonts w:ascii="Calibri" w:hAnsi="Calibri" w:cs="Arial"/>
              <w:sz w:val="20"/>
              <w:szCs w:val="20"/>
            </w:rPr>
            <w:t>ROTEIRO |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0"/>
              <w:lang w:eastAsia="zh-CN"/>
            </w:rPr>
            <w:t>FRANÇA</w:t>
          </w:r>
        </w:p>
      </w:tc>
    </w:tr>
    <w:tr w:rsidR="00EB33DD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EB33DD" w:rsidRDefault="00EB33DD">
          <w:pPr>
            <w:pStyle w:val="Header"/>
            <w:jc w:val="center"/>
          </w:pPr>
        </w:p>
      </w:tc>
    </w:tr>
  </w:tbl>
  <w:p w:rsidR="00EB33DD" w:rsidRDefault="00EB33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6765"/>
    <w:multiLevelType w:val="multilevel"/>
    <w:tmpl w:val="0182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1">
    <w:nsid w:val="447D23E7"/>
    <w:multiLevelType w:val="multilevel"/>
    <w:tmpl w:val="236E94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3E1732"/>
    <w:multiLevelType w:val="multilevel"/>
    <w:tmpl w:val="1272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33DD"/>
    <w:rsid w:val="00023405"/>
    <w:rsid w:val="00385361"/>
    <w:rsid w:val="009A1B4D"/>
    <w:rsid w:val="00EB33DD"/>
    <w:rsid w:val="00F2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EB33DD"/>
    <w:rPr>
      <w:rFonts w:ascii="Calibri" w:hAnsi="Calibri" w:cs="OpenSymbol"/>
    </w:rPr>
  </w:style>
  <w:style w:type="character" w:customStyle="1" w:styleId="ListLabel178">
    <w:name w:val="ListLabel 178"/>
    <w:qFormat/>
    <w:rsid w:val="00EB33DD"/>
    <w:rPr>
      <w:rFonts w:cs="OpenSymbol"/>
    </w:rPr>
  </w:style>
  <w:style w:type="character" w:customStyle="1" w:styleId="ListLabel179">
    <w:name w:val="ListLabel 179"/>
    <w:qFormat/>
    <w:rsid w:val="00EB33DD"/>
    <w:rPr>
      <w:rFonts w:cs="OpenSymbol"/>
    </w:rPr>
  </w:style>
  <w:style w:type="character" w:customStyle="1" w:styleId="ListLabel180">
    <w:name w:val="ListLabel 180"/>
    <w:qFormat/>
    <w:rsid w:val="00EB33DD"/>
    <w:rPr>
      <w:rFonts w:cs="OpenSymbol"/>
    </w:rPr>
  </w:style>
  <w:style w:type="character" w:customStyle="1" w:styleId="ListLabel181">
    <w:name w:val="ListLabel 181"/>
    <w:qFormat/>
    <w:rsid w:val="00EB33DD"/>
    <w:rPr>
      <w:rFonts w:cs="OpenSymbol"/>
    </w:rPr>
  </w:style>
  <w:style w:type="character" w:customStyle="1" w:styleId="ListLabel182">
    <w:name w:val="ListLabel 182"/>
    <w:qFormat/>
    <w:rsid w:val="00EB33DD"/>
    <w:rPr>
      <w:rFonts w:cs="OpenSymbol"/>
    </w:rPr>
  </w:style>
  <w:style w:type="character" w:customStyle="1" w:styleId="ListLabel183">
    <w:name w:val="ListLabel 183"/>
    <w:qFormat/>
    <w:rsid w:val="00EB33DD"/>
    <w:rPr>
      <w:rFonts w:cs="OpenSymbol"/>
    </w:rPr>
  </w:style>
  <w:style w:type="character" w:customStyle="1" w:styleId="ListLabel184">
    <w:name w:val="ListLabel 184"/>
    <w:qFormat/>
    <w:rsid w:val="00EB33DD"/>
    <w:rPr>
      <w:rFonts w:cs="OpenSymbol"/>
    </w:rPr>
  </w:style>
  <w:style w:type="character" w:customStyle="1" w:styleId="ListLabel185">
    <w:name w:val="ListLabel 185"/>
    <w:qFormat/>
    <w:rsid w:val="00EB33DD"/>
    <w:rPr>
      <w:rFonts w:cs="OpenSymbol"/>
    </w:rPr>
  </w:style>
  <w:style w:type="character" w:customStyle="1" w:styleId="ListLabel186">
    <w:name w:val="ListLabel 186"/>
    <w:qFormat/>
    <w:rsid w:val="00EB33DD"/>
    <w:rPr>
      <w:rFonts w:ascii="Calibri" w:hAnsi="Calibri" w:cs="OpenSymbol"/>
    </w:rPr>
  </w:style>
  <w:style w:type="character" w:customStyle="1" w:styleId="ListLabel187">
    <w:name w:val="ListLabel 187"/>
    <w:qFormat/>
    <w:rsid w:val="00EB33DD"/>
    <w:rPr>
      <w:rFonts w:cs="OpenSymbol"/>
    </w:rPr>
  </w:style>
  <w:style w:type="character" w:customStyle="1" w:styleId="ListLabel188">
    <w:name w:val="ListLabel 188"/>
    <w:qFormat/>
    <w:rsid w:val="00EB33DD"/>
    <w:rPr>
      <w:rFonts w:cs="OpenSymbol"/>
    </w:rPr>
  </w:style>
  <w:style w:type="character" w:customStyle="1" w:styleId="ListLabel189">
    <w:name w:val="ListLabel 189"/>
    <w:qFormat/>
    <w:rsid w:val="00EB33DD"/>
    <w:rPr>
      <w:rFonts w:cs="OpenSymbol"/>
    </w:rPr>
  </w:style>
  <w:style w:type="character" w:customStyle="1" w:styleId="ListLabel190">
    <w:name w:val="ListLabel 190"/>
    <w:qFormat/>
    <w:rsid w:val="00EB33DD"/>
    <w:rPr>
      <w:rFonts w:cs="OpenSymbol"/>
    </w:rPr>
  </w:style>
  <w:style w:type="character" w:customStyle="1" w:styleId="ListLabel191">
    <w:name w:val="ListLabel 191"/>
    <w:qFormat/>
    <w:rsid w:val="00EB33DD"/>
    <w:rPr>
      <w:rFonts w:cs="OpenSymbol"/>
    </w:rPr>
  </w:style>
  <w:style w:type="character" w:customStyle="1" w:styleId="ListLabel192">
    <w:name w:val="ListLabel 192"/>
    <w:qFormat/>
    <w:rsid w:val="00EB33DD"/>
    <w:rPr>
      <w:rFonts w:cs="OpenSymbol"/>
    </w:rPr>
  </w:style>
  <w:style w:type="character" w:customStyle="1" w:styleId="ListLabel193">
    <w:name w:val="ListLabel 193"/>
    <w:qFormat/>
    <w:rsid w:val="00EB33DD"/>
    <w:rPr>
      <w:rFonts w:cs="OpenSymbol"/>
    </w:rPr>
  </w:style>
  <w:style w:type="character" w:customStyle="1" w:styleId="ListLabel194">
    <w:name w:val="ListLabel 194"/>
    <w:qFormat/>
    <w:rsid w:val="00EB33DD"/>
    <w:rPr>
      <w:rFonts w:cs="OpenSymbol"/>
    </w:rPr>
  </w:style>
  <w:style w:type="character" w:customStyle="1" w:styleId="ListLabel195">
    <w:name w:val="ListLabel 195"/>
    <w:qFormat/>
    <w:rsid w:val="00EB33DD"/>
    <w:rPr>
      <w:rFonts w:ascii="Calibri" w:hAnsi="Calibri" w:cs="OpenSymbol"/>
    </w:rPr>
  </w:style>
  <w:style w:type="character" w:customStyle="1" w:styleId="ListLabel196">
    <w:name w:val="ListLabel 196"/>
    <w:qFormat/>
    <w:rsid w:val="00EB33DD"/>
    <w:rPr>
      <w:rFonts w:cs="OpenSymbol"/>
    </w:rPr>
  </w:style>
  <w:style w:type="character" w:customStyle="1" w:styleId="ListLabel197">
    <w:name w:val="ListLabel 197"/>
    <w:qFormat/>
    <w:rsid w:val="00EB33DD"/>
    <w:rPr>
      <w:rFonts w:cs="OpenSymbol"/>
    </w:rPr>
  </w:style>
  <w:style w:type="character" w:customStyle="1" w:styleId="ListLabel198">
    <w:name w:val="ListLabel 198"/>
    <w:qFormat/>
    <w:rsid w:val="00EB33DD"/>
    <w:rPr>
      <w:rFonts w:cs="OpenSymbol"/>
    </w:rPr>
  </w:style>
  <w:style w:type="character" w:customStyle="1" w:styleId="ListLabel199">
    <w:name w:val="ListLabel 199"/>
    <w:qFormat/>
    <w:rsid w:val="00EB33DD"/>
    <w:rPr>
      <w:rFonts w:cs="OpenSymbol"/>
    </w:rPr>
  </w:style>
  <w:style w:type="character" w:customStyle="1" w:styleId="ListLabel200">
    <w:name w:val="ListLabel 200"/>
    <w:qFormat/>
    <w:rsid w:val="00EB33DD"/>
    <w:rPr>
      <w:rFonts w:cs="OpenSymbol"/>
    </w:rPr>
  </w:style>
  <w:style w:type="character" w:customStyle="1" w:styleId="ListLabel201">
    <w:name w:val="ListLabel 201"/>
    <w:qFormat/>
    <w:rsid w:val="00EB33DD"/>
    <w:rPr>
      <w:rFonts w:cs="OpenSymbol"/>
    </w:rPr>
  </w:style>
  <w:style w:type="character" w:customStyle="1" w:styleId="ListLabel202">
    <w:name w:val="ListLabel 202"/>
    <w:qFormat/>
    <w:rsid w:val="00EB33DD"/>
    <w:rPr>
      <w:rFonts w:cs="OpenSymbol"/>
    </w:rPr>
  </w:style>
  <w:style w:type="character" w:customStyle="1" w:styleId="ListLabel203">
    <w:name w:val="ListLabel 203"/>
    <w:qFormat/>
    <w:rsid w:val="00EB33DD"/>
    <w:rPr>
      <w:rFonts w:cs="OpenSymbol"/>
    </w:rPr>
  </w:style>
  <w:style w:type="character" w:customStyle="1" w:styleId="ListLabel204">
    <w:name w:val="ListLabel 204"/>
    <w:qFormat/>
    <w:rsid w:val="00EB33DD"/>
    <w:rPr>
      <w:rFonts w:ascii="Calibri" w:hAnsi="Calibri" w:cs="OpenSymbol"/>
    </w:rPr>
  </w:style>
  <w:style w:type="character" w:customStyle="1" w:styleId="ListLabel205">
    <w:name w:val="ListLabel 205"/>
    <w:qFormat/>
    <w:rsid w:val="00EB33DD"/>
    <w:rPr>
      <w:rFonts w:cs="OpenSymbol"/>
    </w:rPr>
  </w:style>
  <w:style w:type="character" w:customStyle="1" w:styleId="ListLabel206">
    <w:name w:val="ListLabel 206"/>
    <w:qFormat/>
    <w:rsid w:val="00EB33DD"/>
    <w:rPr>
      <w:rFonts w:cs="OpenSymbol"/>
    </w:rPr>
  </w:style>
  <w:style w:type="character" w:customStyle="1" w:styleId="ListLabel207">
    <w:name w:val="ListLabel 207"/>
    <w:qFormat/>
    <w:rsid w:val="00EB33DD"/>
    <w:rPr>
      <w:rFonts w:cs="OpenSymbol"/>
    </w:rPr>
  </w:style>
  <w:style w:type="character" w:customStyle="1" w:styleId="ListLabel208">
    <w:name w:val="ListLabel 208"/>
    <w:qFormat/>
    <w:rsid w:val="00EB33DD"/>
    <w:rPr>
      <w:rFonts w:cs="OpenSymbol"/>
    </w:rPr>
  </w:style>
  <w:style w:type="character" w:customStyle="1" w:styleId="ListLabel209">
    <w:name w:val="ListLabel 209"/>
    <w:qFormat/>
    <w:rsid w:val="00EB33DD"/>
    <w:rPr>
      <w:rFonts w:cs="OpenSymbol"/>
    </w:rPr>
  </w:style>
  <w:style w:type="character" w:customStyle="1" w:styleId="ListLabel210">
    <w:name w:val="ListLabel 210"/>
    <w:qFormat/>
    <w:rsid w:val="00EB33DD"/>
    <w:rPr>
      <w:rFonts w:cs="OpenSymbol"/>
    </w:rPr>
  </w:style>
  <w:style w:type="character" w:customStyle="1" w:styleId="ListLabel211">
    <w:name w:val="ListLabel 211"/>
    <w:qFormat/>
    <w:rsid w:val="00EB33DD"/>
    <w:rPr>
      <w:rFonts w:cs="OpenSymbol"/>
    </w:rPr>
  </w:style>
  <w:style w:type="character" w:customStyle="1" w:styleId="ListLabel212">
    <w:name w:val="ListLabel 212"/>
    <w:qFormat/>
    <w:rsid w:val="00EB33DD"/>
    <w:rPr>
      <w:rFonts w:cs="OpenSymbol"/>
    </w:rPr>
  </w:style>
  <w:style w:type="character" w:customStyle="1" w:styleId="ListLabel213">
    <w:name w:val="ListLabel 213"/>
    <w:qFormat/>
    <w:rsid w:val="00EB33DD"/>
    <w:rPr>
      <w:rFonts w:ascii="Calibri" w:hAnsi="Calibri" w:cs="OpenSymbol"/>
    </w:rPr>
  </w:style>
  <w:style w:type="character" w:customStyle="1" w:styleId="ListLabel214">
    <w:name w:val="ListLabel 214"/>
    <w:qFormat/>
    <w:rsid w:val="00EB33DD"/>
    <w:rPr>
      <w:rFonts w:cs="OpenSymbol"/>
    </w:rPr>
  </w:style>
  <w:style w:type="character" w:customStyle="1" w:styleId="ListLabel215">
    <w:name w:val="ListLabel 215"/>
    <w:qFormat/>
    <w:rsid w:val="00EB33DD"/>
    <w:rPr>
      <w:rFonts w:cs="OpenSymbol"/>
    </w:rPr>
  </w:style>
  <w:style w:type="character" w:customStyle="1" w:styleId="ListLabel216">
    <w:name w:val="ListLabel 216"/>
    <w:qFormat/>
    <w:rsid w:val="00EB33DD"/>
    <w:rPr>
      <w:rFonts w:cs="OpenSymbol"/>
    </w:rPr>
  </w:style>
  <w:style w:type="character" w:customStyle="1" w:styleId="ListLabel217">
    <w:name w:val="ListLabel 217"/>
    <w:qFormat/>
    <w:rsid w:val="00EB33DD"/>
    <w:rPr>
      <w:rFonts w:cs="OpenSymbol"/>
    </w:rPr>
  </w:style>
  <w:style w:type="character" w:customStyle="1" w:styleId="ListLabel218">
    <w:name w:val="ListLabel 218"/>
    <w:qFormat/>
    <w:rsid w:val="00EB33DD"/>
    <w:rPr>
      <w:rFonts w:cs="OpenSymbol"/>
    </w:rPr>
  </w:style>
  <w:style w:type="character" w:customStyle="1" w:styleId="ListLabel219">
    <w:name w:val="ListLabel 219"/>
    <w:qFormat/>
    <w:rsid w:val="00EB33DD"/>
    <w:rPr>
      <w:rFonts w:cs="OpenSymbol"/>
    </w:rPr>
  </w:style>
  <w:style w:type="character" w:customStyle="1" w:styleId="ListLabel220">
    <w:name w:val="ListLabel 220"/>
    <w:qFormat/>
    <w:rsid w:val="00EB33DD"/>
    <w:rPr>
      <w:rFonts w:cs="OpenSymbol"/>
    </w:rPr>
  </w:style>
  <w:style w:type="character" w:customStyle="1" w:styleId="ListLabel221">
    <w:name w:val="ListLabel 221"/>
    <w:qFormat/>
    <w:rsid w:val="00EB33DD"/>
    <w:rPr>
      <w:rFonts w:cs="OpenSymbol"/>
    </w:rPr>
  </w:style>
  <w:style w:type="character" w:customStyle="1" w:styleId="ListLabel222">
    <w:name w:val="ListLabel 222"/>
    <w:qFormat/>
    <w:rsid w:val="00EB33DD"/>
    <w:rPr>
      <w:rFonts w:ascii="Calibri" w:hAnsi="Calibri" w:cs="OpenSymbol"/>
    </w:rPr>
  </w:style>
  <w:style w:type="character" w:customStyle="1" w:styleId="ListLabel223">
    <w:name w:val="ListLabel 223"/>
    <w:qFormat/>
    <w:rsid w:val="00EB33DD"/>
    <w:rPr>
      <w:rFonts w:cs="OpenSymbol"/>
    </w:rPr>
  </w:style>
  <w:style w:type="character" w:customStyle="1" w:styleId="ListLabel224">
    <w:name w:val="ListLabel 224"/>
    <w:qFormat/>
    <w:rsid w:val="00EB33DD"/>
    <w:rPr>
      <w:rFonts w:cs="OpenSymbol"/>
    </w:rPr>
  </w:style>
  <w:style w:type="character" w:customStyle="1" w:styleId="ListLabel225">
    <w:name w:val="ListLabel 225"/>
    <w:qFormat/>
    <w:rsid w:val="00EB33DD"/>
    <w:rPr>
      <w:rFonts w:cs="OpenSymbol"/>
    </w:rPr>
  </w:style>
  <w:style w:type="character" w:customStyle="1" w:styleId="ListLabel226">
    <w:name w:val="ListLabel 226"/>
    <w:qFormat/>
    <w:rsid w:val="00EB33DD"/>
    <w:rPr>
      <w:rFonts w:cs="OpenSymbol"/>
    </w:rPr>
  </w:style>
  <w:style w:type="character" w:customStyle="1" w:styleId="ListLabel227">
    <w:name w:val="ListLabel 227"/>
    <w:qFormat/>
    <w:rsid w:val="00EB33DD"/>
    <w:rPr>
      <w:rFonts w:cs="OpenSymbol"/>
    </w:rPr>
  </w:style>
  <w:style w:type="character" w:customStyle="1" w:styleId="ListLabel228">
    <w:name w:val="ListLabel 228"/>
    <w:qFormat/>
    <w:rsid w:val="00EB33DD"/>
    <w:rPr>
      <w:rFonts w:cs="OpenSymbol"/>
    </w:rPr>
  </w:style>
  <w:style w:type="character" w:customStyle="1" w:styleId="ListLabel229">
    <w:name w:val="ListLabel 229"/>
    <w:qFormat/>
    <w:rsid w:val="00EB33DD"/>
    <w:rPr>
      <w:rFonts w:cs="OpenSymbol"/>
    </w:rPr>
  </w:style>
  <w:style w:type="character" w:customStyle="1" w:styleId="ListLabel230">
    <w:name w:val="ListLabel 230"/>
    <w:qFormat/>
    <w:rsid w:val="00EB33DD"/>
    <w:rPr>
      <w:rFonts w:cs="OpenSymbol"/>
    </w:rPr>
  </w:style>
  <w:style w:type="character" w:customStyle="1" w:styleId="ListLabel231">
    <w:name w:val="ListLabel 231"/>
    <w:qFormat/>
    <w:rsid w:val="00EB33DD"/>
    <w:rPr>
      <w:rFonts w:ascii="Calibri" w:hAnsi="Calibri" w:cs="OpenSymbol"/>
    </w:rPr>
  </w:style>
  <w:style w:type="character" w:customStyle="1" w:styleId="ListLabel232">
    <w:name w:val="ListLabel 232"/>
    <w:qFormat/>
    <w:rsid w:val="00EB33DD"/>
    <w:rPr>
      <w:rFonts w:cs="OpenSymbol"/>
    </w:rPr>
  </w:style>
  <w:style w:type="character" w:customStyle="1" w:styleId="ListLabel233">
    <w:name w:val="ListLabel 233"/>
    <w:qFormat/>
    <w:rsid w:val="00EB33DD"/>
    <w:rPr>
      <w:rFonts w:cs="OpenSymbol"/>
    </w:rPr>
  </w:style>
  <w:style w:type="character" w:customStyle="1" w:styleId="ListLabel234">
    <w:name w:val="ListLabel 234"/>
    <w:qFormat/>
    <w:rsid w:val="00EB33DD"/>
    <w:rPr>
      <w:rFonts w:cs="OpenSymbol"/>
    </w:rPr>
  </w:style>
  <w:style w:type="character" w:customStyle="1" w:styleId="ListLabel235">
    <w:name w:val="ListLabel 235"/>
    <w:qFormat/>
    <w:rsid w:val="00EB33DD"/>
    <w:rPr>
      <w:rFonts w:cs="OpenSymbol"/>
    </w:rPr>
  </w:style>
  <w:style w:type="character" w:customStyle="1" w:styleId="ListLabel236">
    <w:name w:val="ListLabel 236"/>
    <w:qFormat/>
    <w:rsid w:val="00EB33DD"/>
    <w:rPr>
      <w:rFonts w:cs="OpenSymbol"/>
    </w:rPr>
  </w:style>
  <w:style w:type="character" w:customStyle="1" w:styleId="ListLabel237">
    <w:name w:val="ListLabel 237"/>
    <w:qFormat/>
    <w:rsid w:val="00EB33DD"/>
    <w:rPr>
      <w:rFonts w:cs="OpenSymbol"/>
    </w:rPr>
  </w:style>
  <w:style w:type="character" w:customStyle="1" w:styleId="ListLabel238">
    <w:name w:val="ListLabel 238"/>
    <w:qFormat/>
    <w:rsid w:val="00EB33DD"/>
    <w:rPr>
      <w:rFonts w:cs="OpenSymbol"/>
    </w:rPr>
  </w:style>
  <w:style w:type="character" w:customStyle="1" w:styleId="ListLabel239">
    <w:name w:val="ListLabel 239"/>
    <w:qFormat/>
    <w:rsid w:val="00EB33DD"/>
    <w:rPr>
      <w:rFonts w:cs="OpenSymbol"/>
    </w:rPr>
  </w:style>
  <w:style w:type="character" w:customStyle="1" w:styleId="ListLabel240">
    <w:name w:val="ListLabel 240"/>
    <w:qFormat/>
    <w:rsid w:val="00EB33DD"/>
    <w:rPr>
      <w:rFonts w:ascii="Calibri" w:hAnsi="Calibri" w:cs="OpenSymbol"/>
    </w:rPr>
  </w:style>
  <w:style w:type="character" w:customStyle="1" w:styleId="ListLabel241">
    <w:name w:val="ListLabel 241"/>
    <w:qFormat/>
    <w:rsid w:val="00EB33DD"/>
    <w:rPr>
      <w:rFonts w:cs="OpenSymbol"/>
    </w:rPr>
  </w:style>
  <w:style w:type="character" w:customStyle="1" w:styleId="ListLabel242">
    <w:name w:val="ListLabel 242"/>
    <w:qFormat/>
    <w:rsid w:val="00EB33DD"/>
    <w:rPr>
      <w:rFonts w:cs="OpenSymbol"/>
    </w:rPr>
  </w:style>
  <w:style w:type="character" w:customStyle="1" w:styleId="ListLabel243">
    <w:name w:val="ListLabel 243"/>
    <w:qFormat/>
    <w:rsid w:val="00EB33DD"/>
    <w:rPr>
      <w:rFonts w:cs="OpenSymbol"/>
    </w:rPr>
  </w:style>
  <w:style w:type="character" w:customStyle="1" w:styleId="ListLabel244">
    <w:name w:val="ListLabel 244"/>
    <w:qFormat/>
    <w:rsid w:val="00EB33DD"/>
    <w:rPr>
      <w:rFonts w:cs="OpenSymbol"/>
    </w:rPr>
  </w:style>
  <w:style w:type="character" w:customStyle="1" w:styleId="ListLabel245">
    <w:name w:val="ListLabel 245"/>
    <w:qFormat/>
    <w:rsid w:val="00EB33DD"/>
    <w:rPr>
      <w:rFonts w:cs="OpenSymbol"/>
    </w:rPr>
  </w:style>
  <w:style w:type="character" w:customStyle="1" w:styleId="ListLabel246">
    <w:name w:val="ListLabel 246"/>
    <w:qFormat/>
    <w:rsid w:val="00EB33DD"/>
    <w:rPr>
      <w:rFonts w:cs="OpenSymbol"/>
    </w:rPr>
  </w:style>
  <w:style w:type="character" w:customStyle="1" w:styleId="ListLabel247">
    <w:name w:val="ListLabel 247"/>
    <w:qFormat/>
    <w:rsid w:val="00EB33DD"/>
    <w:rPr>
      <w:rFonts w:cs="OpenSymbol"/>
    </w:rPr>
  </w:style>
  <w:style w:type="character" w:customStyle="1" w:styleId="ListLabel248">
    <w:name w:val="ListLabel 248"/>
    <w:qFormat/>
    <w:rsid w:val="00EB33DD"/>
    <w:rPr>
      <w:rFonts w:cs="OpenSymbol"/>
    </w:rPr>
  </w:style>
  <w:style w:type="character" w:customStyle="1" w:styleId="ListLabel249">
    <w:name w:val="ListLabel 249"/>
    <w:qFormat/>
    <w:rsid w:val="00EB33DD"/>
    <w:rPr>
      <w:rFonts w:ascii="Calibri" w:hAnsi="Calibri" w:cs="OpenSymbol"/>
    </w:rPr>
  </w:style>
  <w:style w:type="character" w:customStyle="1" w:styleId="ListLabel250">
    <w:name w:val="ListLabel 250"/>
    <w:qFormat/>
    <w:rsid w:val="00EB33DD"/>
    <w:rPr>
      <w:rFonts w:cs="OpenSymbol"/>
    </w:rPr>
  </w:style>
  <w:style w:type="character" w:customStyle="1" w:styleId="ListLabel251">
    <w:name w:val="ListLabel 251"/>
    <w:qFormat/>
    <w:rsid w:val="00EB33DD"/>
    <w:rPr>
      <w:rFonts w:cs="OpenSymbol"/>
    </w:rPr>
  </w:style>
  <w:style w:type="character" w:customStyle="1" w:styleId="ListLabel252">
    <w:name w:val="ListLabel 252"/>
    <w:qFormat/>
    <w:rsid w:val="00EB33DD"/>
    <w:rPr>
      <w:rFonts w:cs="OpenSymbol"/>
    </w:rPr>
  </w:style>
  <w:style w:type="character" w:customStyle="1" w:styleId="ListLabel253">
    <w:name w:val="ListLabel 253"/>
    <w:qFormat/>
    <w:rsid w:val="00EB33DD"/>
    <w:rPr>
      <w:rFonts w:cs="OpenSymbol"/>
    </w:rPr>
  </w:style>
  <w:style w:type="character" w:customStyle="1" w:styleId="ListLabel254">
    <w:name w:val="ListLabel 254"/>
    <w:qFormat/>
    <w:rsid w:val="00EB33DD"/>
    <w:rPr>
      <w:rFonts w:cs="OpenSymbol"/>
    </w:rPr>
  </w:style>
  <w:style w:type="character" w:customStyle="1" w:styleId="ListLabel255">
    <w:name w:val="ListLabel 255"/>
    <w:qFormat/>
    <w:rsid w:val="00EB33DD"/>
    <w:rPr>
      <w:rFonts w:cs="OpenSymbol"/>
    </w:rPr>
  </w:style>
  <w:style w:type="character" w:customStyle="1" w:styleId="ListLabel256">
    <w:name w:val="ListLabel 256"/>
    <w:qFormat/>
    <w:rsid w:val="00EB33DD"/>
    <w:rPr>
      <w:rFonts w:cs="OpenSymbol"/>
    </w:rPr>
  </w:style>
  <w:style w:type="character" w:customStyle="1" w:styleId="ListLabel257">
    <w:name w:val="ListLabel 257"/>
    <w:qFormat/>
    <w:rsid w:val="00EB33DD"/>
    <w:rPr>
      <w:rFonts w:cs="OpenSymbol"/>
    </w:rPr>
  </w:style>
  <w:style w:type="character" w:customStyle="1" w:styleId="nfase">
    <w:name w:val="Ênfase"/>
    <w:qFormat/>
    <w:rsid w:val="00EB33DD"/>
    <w:rPr>
      <w:i/>
      <w:iCs/>
    </w:rPr>
  </w:style>
  <w:style w:type="character" w:styleId="Strong">
    <w:name w:val="Strong"/>
    <w:qFormat/>
    <w:rsid w:val="00EB33DD"/>
    <w:rPr>
      <w:b/>
      <w:bCs/>
    </w:rPr>
  </w:style>
  <w:style w:type="character" w:customStyle="1" w:styleId="ListLabel258">
    <w:name w:val="ListLabel 258"/>
    <w:qFormat/>
    <w:rsid w:val="00EB33DD"/>
    <w:rPr>
      <w:rFonts w:cs="OpenSymbol"/>
      <w:b w:val="0"/>
    </w:rPr>
  </w:style>
  <w:style w:type="character" w:customStyle="1" w:styleId="ListLabel259">
    <w:name w:val="ListLabel 259"/>
    <w:qFormat/>
    <w:rsid w:val="00EB33DD"/>
    <w:rPr>
      <w:rFonts w:cs="OpenSymbol"/>
    </w:rPr>
  </w:style>
  <w:style w:type="character" w:customStyle="1" w:styleId="ListLabel260">
    <w:name w:val="ListLabel 260"/>
    <w:qFormat/>
    <w:rsid w:val="00EB33DD"/>
    <w:rPr>
      <w:rFonts w:cs="OpenSymbol"/>
    </w:rPr>
  </w:style>
  <w:style w:type="character" w:customStyle="1" w:styleId="ListLabel261">
    <w:name w:val="ListLabel 261"/>
    <w:qFormat/>
    <w:rsid w:val="00EB33DD"/>
    <w:rPr>
      <w:rFonts w:cs="OpenSymbol"/>
    </w:rPr>
  </w:style>
  <w:style w:type="character" w:customStyle="1" w:styleId="ListLabel262">
    <w:name w:val="ListLabel 262"/>
    <w:qFormat/>
    <w:rsid w:val="00EB33DD"/>
    <w:rPr>
      <w:rFonts w:cs="OpenSymbol"/>
    </w:rPr>
  </w:style>
  <w:style w:type="character" w:customStyle="1" w:styleId="ListLabel263">
    <w:name w:val="ListLabel 263"/>
    <w:qFormat/>
    <w:rsid w:val="00EB33DD"/>
    <w:rPr>
      <w:rFonts w:cs="OpenSymbol"/>
    </w:rPr>
  </w:style>
  <w:style w:type="character" w:customStyle="1" w:styleId="ListLabel264">
    <w:name w:val="ListLabel 264"/>
    <w:qFormat/>
    <w:rsid w:val="00EB33DD"/>
    <w:rPr>
      <w:rFonts w:cs="OpenSymbol"/>
    </w:rPr>
  </w:style>
  <w:style w:type="character" w:customStyle="1" w:styleId="ListLabel265">
    <w:name w:val="ListLabel 265"/>
    <w:qFormat/>
    <w:rsid w:val="00EB33DD"/>
    <w:rPr>
      <w:rFonts w:cs="OpenSymbol"/>
    </w:rPr>
  </w:style>
  <w:style w:type="character" w:customStyle="1" w:styleId="ListLabel266">
    <w:name w:val="ListLabel 266"/>
    <w:qFormat/>
    <w:rsid w:val="00EB33DD"/>
    <w:rPr>
      <w:rFonts w:cs="OpenSymbol"/>
    </w:rPr>
  </w:style>
  <w:style w:type="character" w:customStyle="1" w:styleId="ListLabel267">
    <w:name w:val="ListLabel 267"/>
    <w:qFormat/>
    <w:rsid w:val="00EB33DD"/>
    <w:rPr>
      <w:rFonts w:cs="OpenSymbol"/>
    </w:rPr>
  </w:style>
  <w:style w:type="character" w:customStyle="1" w:styleId="ListLabel268">
    <w:name w:val="ListLabel 268"/>
    <w:qFormat/>
    <w:rsid w:val="00EB33DD"/>
    <w:rPr>
      <w:rFonts w:cs="OpenSymbol"/>
    </w:rPr>
  </w:style>
  <w:style w:type="character" w:customStyle="1" w:styleId="ListLabel269">
    <w:name w:val="ListLabel 269"/>
    <w:qFormat/>
    <w:rsid w:val="00EB33DD"/>
    <w:rPr>
      <w:rFonts w:cs="OpenSymbol"/>
    </w:rPr>
  </w:style>
  <w:style w:type="character" w:customStyle="1" w:styleId="ListLabel270">
    <w:name w:val="ListLabel 270"/>
    <w:qFormat/>
    <w:rsid w:val="00EB33DD"/>
    <w:rPr>
      <w:rFonts w:cs="OpenSymbol"/>
    </w:rPr>
  </w:style>
  <w:style w:type="character" w:customStyle="1" w:styleId="ListLabel271">
    <w:name w:val="ListLabel 271"/>
    <w:qFormat/>
    <w:rsid w:val="00EB33DD"/>
    <w:rPr>
      <w:rFonts w:cs="OpenSymbol"/>
    </w:rPr>
  </w:style>
  <w:style w:type="character" w:customStyle="1" w:styleId="ListLabel272">
    <w:name w:val="ListLabel 272"/>
    <w:qFormat/>
    <w:rsid w:val="00EB33DD"/>
    <w:rPr>
      <w:rFonts w:cs="OpenSymbol"/>
    </w:rPr>
  </w:style>
  <w:style w:type="character" w:customStyle="1" w:styleId="ListLabel273">
    <w:name w:val="ListLabel 273"/>
    <w:qFormat/>
    <w:rsid w:val="00EB33DD"/>
    <w:rPr>
      <w:rFonts w:cs="OpenSymbol"/>
    </w:rPr>
  </w:style>
  <w:style w:type="character" w:customStyle="1" w:styleId="ListLabel274">
    <w:name w:val="ListLabel 274"/>
    <w:qFormat/>
    <w:rsid w:val="00EB33DD"/>
    <w:rPr>
      <w:rFonts w:cs="OpenSymbol"/>
    </w:rPr>
  </w:style>
  <w:style w:type="character" w:customStyle="1" w:styleId="ListLabel275">
    <w:name w:val="ListLabel 275"/>
    <w:qFormat/>
    <w:rsid w:val="00EB33DD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paragraph" w:customStyle="1" w:styleId="Dia-Descrio">
    <w:name w:val="Dia - Descrição"/>
    <w:basedOn w:val="Normal"/>
    <w:qFormat/>
    <w:rsid w:val="00EB33DD"/>
    <w:pPr>
      <w:ind w:left="990"/>
      <w:jc w:val="both"/>
    </w:pPr>
    <w:rPr>
      <w:rFonts w:ascii="Tahoma" w:hAnsi="Tahoma"/>
      <w:color w:val="000000"/>
      <w:sz w:val="20"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2020-02-07T21:18:00Z</dcterms:created>
  <dcterms:modified xsi:type="dcterms:W3CDTF">2020-02-07T21:18:00Z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