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lang w:val="en-US"/>
        </w:rPr>
        <w:t>China - 2020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lang w:val="en-US"/>
        </w:rPr>
        <w:t>Beijing - Xian - Shanghai - Hong Kong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cs="Arial" w:ascii="Calibri" w:hAnsi="Calibri"/>
          <w:b/>
          <w:bCs/>
          <w:color w:val="000000"/>
          <w:sz w:val="28"/>
          <w:szCs w:val="28"/>
          <w:lang w:val="en-US"/>
        </w:rPr>
        <w:t>11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000000"/>
          <w:sz w:val="22"/>
          <w:szCs w:val="22"/>
        </w:rPr>
      </w:pPr>
      <w:r>
        <w:rPr>
          <w:rFonts w:cs="Arial" w:ascii="Calibri" w:hAnsi="Calibri"/>
          <w:i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drawing>
          <wp:inline distT="0" distB="0" distL="0" distR="0">
            <wp:extent cx="6119495" cy="2613025"/>
            <wp:effectExtent l="0" t="0" r="0" b="0"/>
            <wp:docPr id="1" name="Imagem 4" descr="Destinos-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Destinos-Chin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1º dia - Beijing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Chegada a Beijing. Recepção e traslado privativo ao hotel. Hospedagem por 3 noites, com café da manhã.</w:t>
      </w:r>
    </w:p>
    <w:p>
      <w:pPr>
        <w:pStyle w:val="Normal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2º dia - Beijing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Pela manhã visita a famosa Praça Tiananmen, uma das maiores do mundo, por onde passam milhares de pessoas diariamente com intuito de apreciar os monumentos ao seu redor. Em seguida, visita a extraordinária Cidade Proibida. Foi dentro de suas muralhas, que imperadores das Dinastias Ming e Qij, auxiliados por seus ministros, concubinas e servos, atuaram na China Imperial, de 1.420 até 1.911. Almoço em restaurante típico. À tarde, visita ao Palácio de Verão com seus belíssimos jardins tipicamente chineses, construídos ao redor do Lago Kuming, cercado por delicados pavilhões, templos e pagodes emoldurados por lindas árvores floridas. Passeio privativo de barco pelo lago.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3º dia - Beijing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Pela manhã, saída em carro privativo com destino a Grande Muralha em Mutianuye, um dos trechos mais remotos e belos dessa imensa edificação.  Patrimônio histórico, foi construída como defesa das diversas invasões nômades, suas paredes ainda refletem a luz da civilização oriental – a China Imperial. Passeio de teleférico e almoço em restaurante local. À tarde, visita ao Templo do Paraíso, um tesouro da arquitetura Ming e um dos mais importantes símbolos da cidade. Construída em 1420, essa enorme edificação, duas vezes maior que as dimensões da Cidade Proibida, era o local onde os imperadores na ocasião do inverno, ofereciam seus sacrifícios para o sucesso da próxima colheita. No final da tarde, tempo dedicado às compras no agitado Mercado Hongqiao, local popular com pequenas lojas coloridas, repletas de artesanato local e considerado um dos melhores lugares para a compra de pérolas</w:t>
      </w:r>
      <w:r>
        <w:rPr>
          <w:rFonts w:cs="Tahoma" w:ascii="Calibri" w:hAnsi="Calibri"/>
          <w:b/>
          <w:color w:val="000000"/>
          <w:sz w:val="22"/>
          <w:szCs w:val="22"/>
        </w:rPr>
        <w:t>.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cs="Arial"/>
          <w:b/>
          <w:b/>
          <w:bCs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4º dia - Beijing - Xian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Pela manhã traslado ao aeroporto para embarque com destino a Xian, antiga capital de numerosas dinastias, ponto de partida e chegada da lendária Rota da Seda.  Chegada, recepção e traslado ao hotel. Hospedagem por 2 noites, com café da manhã. À tarde, visita ao Museu Shaanxi e à antiga Muralha de Xian.</w:t>
      </w:r>
    </w:p>
    <w:p>
      <w:pPr>
        <w:pStyle w:val="Corpodotexto"/>
        <w:numPr>
          <w:ilvl w:val="0"/>
          <w:numId w:val="0"/>
        </w:numPr>
        <w:shd w:val="clear" w:fill="FF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5º dia - Xian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Dia inteiro de visitas, começando pela câmara mortuária do Imperador Quin, declarado Patrimônio Cultural pela Unesco, sendo a maior descoberta do século XX, contendo cerca de 6.000 figuras em tamanho natural, esculpidas em terracota. Este exército formado por guerreiros, cavalos e carruagens, foi enterrado juntamente com o Imperador, morto há mais de 2000 anos. Almoço em típico restaurante. Em seguida, visita a Grande Mesquita, ao quarteirão muçulmano e a pagoda Small Wild Goose.</w:t>
        <w:br/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6º dia - Xian - Shanghai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Traslado ao aeroporto para embarque com destino a Shanghai. No caminho, visita ao Museu Yangling.  Shanghai, anteriormente conhecida como a “Paris do Oriente” é a mais cosmopolita de todas as cidades da China, encontra-se em amplo desenvolvimento. Chegada, recepção e traslado ao hotel. Hospedagem por 3 noites, com café da manhã.</w:t>
      </w:r>
    </w:p>
    <w:p>
      <w:pPr>
        <w:pStyle w:val="Normal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cs="Arial" w:ascii="Calibri" w:hAnsi="Calibri"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 xml:space="preserve">7º dia - Shanghai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Dia repleto de atividades. Visita à parte antiga da cidade que conserva até hoje o ambiente original da Dinastia Ming, ao distrito da Concessão Francesa, com belíssimas construções dos séculos XIX e XX, hoje charmoso bairro repleto de sofisticadas butiques e restaurantes. Em seguida caminhada pelo Yu Garden, antiga residência e jardim exclusivo da Dinastia Ming durante o século XVI. Visita ao Museu de Shanghai. À noite, espetacular Show Acrobático de Shanghai, incluindo traslados de ida e volta ao hotel.</w:t>
      </w:r>
    </w:p>
    <w:p>
      <w:pPr>
        <w:pStyle w:val="Corpodotexto"/>
        <w:numPr>
          <w:ilvl w:val="0"/>
          <w:numId w:val="0"/>
        </w:numPr>
        <w:shd w:val="clear" w:fill="FF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8º dia - Shanghai - Zhujiajao - Shanghai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Traslado Pela manhã visita a Zhujiajiao, antigo vilarejo composto por nove ruas tranquilas, pavimentadas com pedras, becos e pontes em arcos que expressam a beleza da água representada como a alma da cidade, além de lagos, canais e deslumbrantes jardins de plantações de chá. Almoço em restaurante típico. À tarde, passeio pelo Bund, a rua mais histórica de Shanghai, a Nanjing Road e Xintiandi. À noite, jantar especial.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cs="Arial" w:ascii="Calibri" w:hAnsi="Calibri"/>
          <w:bCs/>
          <w:color w:val="000000"/>
          <w:sz w:val="22"/>
          <w:szCs w:val="22"/>
        </w:rPr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9º dia - Shanghai - Hong Kong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Traslado ao aeroporto Shanghai, para embarque com destino a Hong Kong. Chegada, recepção e traslado em Rolls Royce ao hotel. Hospedagem por 2 noites, com café da manhã.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cs="Arial" w:ascii="Calibri" w:hAnsi="Calibri"/>
          <w:bCs/>
          <w:color w:val="000000"/>
          <w:sz w:val="22"/>
          <w:szCs w:val="22"/>
        </w:rPr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10º dia - Hong Kong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A cidade possui uma situação geográfica de rara beleza. Antiga colônia britânica, voltou ao domínio da China em 1997. Passeio privativo pela cidade, visitando Pico Vitória, Repulse Bay, o vilarejo pesqueiro de Aberdeen onde se poderá fazer um pitoresco passeio de “Sampan” - típica embarcação de madeira. Almoço em típico restaurante. À tarde, visita ao Mercado de Jade, Mercado das Flores e o Templo Wong Tai Sin.</w:t>
      </w:r>
    </w:p>
    <w:p>
      <w:pPr>
        <w:pStyle w:val="Normal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cs="Arial" w:ascii="Calibri" w:hAnsi="Calibri"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cs="Arial"/>
          <w:b/>
          <w:b/>
          <w:bCs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11º dia - Hong Kong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eastAsia="DejaVu Sans" w:cs="Arial" w:ascii="Calibri" w:hAnsi="Calibri"/>
          <w:b w:val="false"/>
          <w:bCs/>
          <w:color w:val="000000"/>
          <w:sz w:val="22"/>
          <w:szCs w:val="22"/>
          <w:lang w:eastAsia="pt-BR" w:bidi="pt-BR"/>
        </w:rPr>
        <w:t xml:space="preserve">Café da manhã no hotel e traslado em Rolls Royce para o aeroporto. 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color w:val="000000"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s-ES_tradnl"/>
              </w:rPr>
              <w:t>St. Regis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Deluxe 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Xian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s-ES_tradnl"/>
              </w:rPr>
              <w:t>Shangri-La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s-ES_tradnl"/>
              </w:rPr>
              <w:t>Peninsula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s-ES_tradnl"/>
              </w:rPr>
              <w:t>Peninsula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Times New Roman" w:cs="Tahoma" w:ascii="Calibri" w:hAnsi="Calibri"/>
          <w:bCs/>
          <w:color w:val="000000"/>
          <w:sz w:val="22"/>
          <w:szCs w:val="22"/>
        </w:rPr>
        <w:t>Preço do Roteiro Terrestre, por pessoa em US$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false"/>
                <w:color w:val="000000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  <w:i w:val="false"/>
                <w:i w:val="false"/>
                <w:color w:val="FFFFFF"/>
              </w:rPr>
            </w:pPr>
            <w:r>
              <w:rPr>
                <w:rFonts w:ascii="Calibri" w:hAnsi="Calibri"/>
                <w:b/>
                <w:bCs/>
                <w:i w:val="false"/>
                <w:color w:val="000000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à partir de  US$ 8.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b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cs="Arial" w:ascii="Calibri" w:hAnsi="Calibri"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Observação: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Os hotéis mencionados acima incluem taxas locais.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O critério internacional de horários de entrada e saída de hotéis, normalmente é: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Check-in</w:t>
      </w:r>
      <w:r>
        <w:rPr>
          <w:rFonts w:cs="Arial" w:ascii="Calibri" w:hAnsi="Calibri"/>
          <w:color w:val="000000"/>
          <w:sz w:val="22"/>
          <w:szCs w:val="22"/>
        </w:rPr>
        <w:t>: entre 14h e 15h</w:t>
        <w:tab/>
        <w:tab/>
      </w:r>
      <w:r>
        <w:rPr>
          <w:rFonts w:cs="Arial" w:ascii="Calibri" w:hAnsi="Calibri"/>
          <w:b/>
          <w:color w:val="000000"/>
          <w:sz w:val="22"/>
          <w:szCs w:val="22"/>
        </w:rPr>
        <w:t>Check-out</w:t>
      </w:r>
      <w:r>
        <w:rPr>
          <w:rFonts w:cs="Arial" w:ascii="Calibri" w:hAnsi="Calibri"/>
          <w:color w:val="000000"/>
          <w:sz w:val="22"/>
          <w:szCs w:val="22"/>
        </w:rPr>
        <w:t>: entre 11h e 12h</w:t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outlineLvl w:val="0"/>
        <w:rPr>
          <w:rFonts w:ascii="Calibri" w:hAnsi="Calibri" w:cs="Tahoma"/>
          <w:b/>
          <w:b/>
          <w:bCs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outlineLvl w:val="0"/>
        <w:rPr>
          <w:rFonts w:ascii="Calibri" w:hAnsi="Calibri" w:cs="Tahoma"/>
          <w:b/>
          <w:b/>
          <w:bCs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</w:r>
    </w:p>
    <w:p>
      <w:pPr>
        <w:pStyle w:val="Corpodotexto"/>
        <w:numPr>
          <w:ilvl w:val="0"/>
          <w:numId w:val="0"/>
        </w:numPr>
        <w:shd w:val="clear" w:fill="FFFFFF"/>
        <w:spacing w:before="0" w:after="0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O roteiro inclui: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noites em Beijing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 noites em Xian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noites em Shanghai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 noites em Hong Kong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Café da manhã diário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Almoços conforme roteiro descrito no roteiro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 jantar especial em Shanghai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Show de acrobatas em Shanghai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Passeio privativo em barco no Lago Kunming, em Beijing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false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Traslados e passeios privativos  </w:t>
      </w:r>
    </w:p>
    <w:p>
      <w:pPr>
        <w:pStyle w:val="Corpodotexto"/>
        <w:shd w:val="clear" w:fill="FFFFFF"/>
        <w:spacing w:before="0" w:after="0"/>
        <w:rPr>
          <w:rFonts w:ascii="Calibri" w:hAnsi="Calibri"/>
          <w:b/>
          <w:b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/>
          <w:sz w:val="22"/>
          <w:szCs w:val="22"/>
        </w:rPr>
      </w:r>
    </w:p>
    <w:p>
      <w:pPr>
        <w:pStyle w:val="Corpodotexto"/>
        <w:shd w:val="clear" w:fill="FFFFFF"/>
        <w:spacing w:before="0" w:after="0"/>
        <w:rPr>
          <w:rFonts w:ascii="Calibri" w:hAnsi="Calibri"/>
          <w:b/>
          <w:b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/>
          <w:sz w:val="22"/>
          <w:szCs w:val="22"/>
        </w:rPr>
      </w:r>
    </w:p>
    <w:p>
      <w:pPr>
        <w:pStyle w:val="Corpodotexto"/>
        <w:shd w:val="clear" w:fill="FFFFFF"/>
        <w:spacing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 roteiro não inclui: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Passagem aérea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com documentos e vistos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de caráter pessoal, gorjetas, telefonemas, etc.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Qualquer item que não esteja no programa</w:t>
      </w:r>
    </w:p>
    <w:p>
      <w:pPr>
        <w:pStyle w:val="Normal"/>
        <w:widowControl/>
        <w:suppressAutoHyphens w:val="false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3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Passaporte: com validade mínima de 6 meses </w:t>
      </w:r>
      <w:r>
        <w:rPr>
          <w:rFonts w:eastAsia="DejaVu Sans" w:cs="Tahoma" w:ascii="Calibri" w:hAnsi="Calibri"/>
          <w:color w:val="000000"/>
          <w:sz w:val="22"/>
          <w:szCs w:val="22"/>
          <w:lang w:bidi="pt-BR"/>
        </w:rPr>
        <w:t>da data de embarque com 2 páginas em branco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</w:tabs>
        <w:suppressAutoHyphens w:val="false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Visto: é necessário visto para a China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</w:tabs>
        <w:suppressAutoHyphens w:val="false"/>
        <w:ind w:left="284" w:hanging="284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eastAsia="Times New Roman" w:cs="Tahoma" w:ascii="Calibri" w:hAnsi="Calibri"/>
          <w:b w:val="false"/>
          <w:bCs w:val="false"/>
          <w:color w:val="000000"/>
          <w:sz w:val="22"/>
          <w:szCs w:val="22"/>
        </w:rPr>
        <w:t>Vacina: é necessário Certificado Internacional de Vacina contra febre amarela (11 dias antes do embarque)</w:t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jc w:val="center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Valores em dólares americanos por pessoa, sujeitos à disponibilidade e alteração sem aviso prévio.</w:t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07/01/2020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5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10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 xml:space="preserve">ROTEIRO | 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ÁSIA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alibri" w:hAnsi="Calibri"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ascii="Calibri" w:hAnsi="Calibri"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ascii="Calibri" w:hAnsi="Calibri" w:cs="OpenSymbol"/>
      <w:b w:val="false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LibreOffice/6.2.4.2$Windows_X86_64 LibreOffice_project/2412653d852ce75f65fbfa83fb7e7b669a126d64</Application>
  <Pages>4</Pages>
  <Words>1054</Words>
  <Characters>5431</Characters>
  <CharactersWithSpaces>6404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2020-01-16T16:01:45Z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