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Arial" w:eastAsia="Andale Sans UI"/>
          <w:b/>
          <w:color w:val="000080"/>
          <w:sz w:val="26"/>
          <w:szCs w:val="26"/>
        </w:rPr>
      </w:pP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Tierra Patagonia</w:t>
      </w: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 </w:t>
      </w: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-</w:t>
      </w: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 201</w:t>
      </w: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8</w:t>
      </w: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/201</w:t>
      </w: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9</w:t>
      </w:r>
      <w:r/>
    </w:p>
    <w:p>
      <w:pPr>
        <w:jc w:val="center"/>
        <w:rPr>
          <w:rFonts w:ascii="Calibri" w:hAnsi="Calibri" w:cs="Arial" w:eastAsia="Andale Sans UI"/>
          <w:b/>
          <w:color w:val="000080"/>
        </w:rPr>
      </w:pPr>
      <w:r>
        <w:rPr>
          <w:rFonts w:ascii="Calibri" w:hAnsi="Calibri" w:cs="Arial" w:eastAsia="Andale Sans UI"/>
          <w:b/>
          <w:color w:val="000080"/>
        </w:rPr>
        <w:t xml:space="preserve">Promoções</w:t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drawing>
          <wp:inline xmlns:wp="http://schemas.openxmlformats.org/drawingml/2006/wordprocessingDrawing" distT="0" distB="0" distL="0" distR="0">
            <wp:extent cx="6119494" cy="2581274"/>
            <wp:effectExtent l="0" t="0" r="0" b="9524"/>
            <wp:docPr id="2" name="Imagem 4" descr="slideshow.jpg" hidden="false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slideshow.jpg" hidden="0"/>
                    <pic:cNvPicPr>
                      <a:picLocks noChangeAspect="1"/>
                    </pic:cNvPicPr>
                  </pic:nvPicPr>
                  <pic:blipFill>
                    <a:blip r:embed="rId10"/>
                    <a:stretch/>
                  </pic:blipFill>
                  <pic:spPr bwMode="auto">
                    <a:xfrm>
                      <a:off x="0" y="0"/>
                      <a:ext cx="611949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/>
    </w:p>
    <w:p>
      <w:pPr>
        <w:jc w:val="left"/>
        <w:tabs>
          <w:tab w:val="left" w:pos="5250" w:leader="none"/>
        </w:tabs>
        <w:rPr>
          <w:i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Para todas as promoções dos hotéis Tierra, observam-se as seguintes claúsulas:</w:t>
      </w:r>
      <w:r>
        <w:rPr>
          <w:sz w:val="22"/>
          <w:szCs w:val="22"/>
        </w:rPr>
        <w:t xml:space="preserve"> </w:t>
      </w:r>
      <w:r/>
    </w:p>
    <w:p>
      <w:pPr>
        <w:jc w:val="left"/>
        <w:tabs>
          <w:tab w:val="left" w:pos="5250" w:leader="none"/>
        </w:tabs>
        <w:rPr>
          <w:rFonts w:ascii="Calibri" w:hAnsi="Calibri"/>
          <w:sz w:val="22"/>
          <w:szCs w:val="22"/>
        </w:rPr>
      </w:pPr>
      <w:r>
        <w:rPr>
          <w:sz w:val="22"/>
          <w:szCs w:val="22"/>
        </w:rPr>
      </w:r>
      <w:r>
        <w:rPr>
          <w:sz w:val="22"/>
          <w:szCs w:val="22"/>
        </w:rPr>
      </w:r>
    </w:p>
    <w:p>
      <w:pPr>
        <w:pStyle w:val="269"/>
        <w:jc w:val="lef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 xml:space="preserve">Não são acumuláveis ou combináveis com nenhuma outra promoção</w:t>
      </w:r>
      <w:r/>
    </w:p>
    <w:p>
      <w:pPr>
        <w:pStyle w:val="269"/>
        <w:jc w:val="lef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 xml:space="preserve">Não são reembolsáveis ou permutáveis e são pessoais e intransferíveis</w:t>
      </w:r>
      <w:r/>
    </w:p>
    <w:p>
      <w:pPr>
        <w:pStyle w:val="269"/>
        <w:jc w:val="left"/>
        <w:spacing w:after="51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 </w:t>
      </w:r>
      <w:r>
        <w:rPr>
          <w:rFonts w:ascii="Calibri" w:hAnsi="Calibri" w:cs="Calibri"/>
          <w:sz w:val="22"/>
          <w:szCs w:val="22"/>
        </w:rPr>
        <w:t xml:space="preserve">Promoções sujeitas a disponibilidade </w:t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10% desconto 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- Tierra Patagonia &amp; Tierra Chiloé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Combinando o </w:t>
      </w:r>
      <w:r>
        <w:rPr>
          <w:rFonts w:ascii="Calibri" w:hAnsi="Calibri" w:cs="Tahoma"/>
          <w:bCs/>
          <w:sz w:val="22"/>
          <w:szCs w:val="22"/>
        </w:rPr>
        <w:t xml:space="preserve">Tierra Patagonia &amp; Tierra Chiloé</w:t>
      </w:r>
      <w:r>
        <w:rPr>
          <w:rFonts w:ascii="Calibri" w:hAnsi="Calibri" w:cs="Tahoma"/>
          <w:bCs/>
          <w:sz w:val="22"/>
          <w:szCs w:val="22"/>
        </w:rPr>
        <w:t xml:space="preserve"> na mesma viagem, desconto de 10%.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</w:t>
      </w:r>
      <w:r>
        <w:rPr>
          <w:rFonts w:ascii="Calibri" w:hAnsi="Calibri" w:cs="Calibri" w:eastAsia="Times New Roman"/>
          <w:sz w:val="22"/>
          <w:szCs w:val="22"/>
        </w:rPr>
        <w:t xml:space="preserve">abril</w:t>
      </w:r>
      <w:r>
        <w:rPr>
          <w:rFonts w:ascii="Calibri" w:hAnsi="Calibri" w:cs="Calibri" w:eastAsia="Times New Roman"/>
          <w:sz w:val="22"/>
          <w:szCs w:val="22"/>
        </w:rPr>
        <w:t xml:space="preserve"> de 2019</w:t>
      </w:r>
      <w:r>
        <w:rPr>
          <w:rFonts w:ascii="Calibri" w:hAnsi="Calibri" w:cs="Calibri" w:eastAsia="Times New Roman"/>
          <w:sz w:val="22"/>
          <w:szCs w:val="22"/>
        </w:rPr>
        <w:t xml:space="preserve">, incluindo as datas de 20 dezembro 2019 a 2 janeiro 2019.</w:t>
      </w:r>
      <w:r/>
    </w:p>
    <w:p>
      <w:pPr>
        <w:jc w:val="left"/>
        <w:rPr>
          <w:rFonts w:ascii="Calibri" w:hAnsi="Calibri" w:cs="Calibri" w:eastAsia="Times New Roman"/>
          <w:b/>
          <w:sz w:val="22"/>
          <w:szCs w:val="22"/>
        </w:rPr>
      </w:pPr>
      <w:r>
        <w:rPr>
          <w:rFonts w:ascii="Calibri" w:hAnsi="Calibri" w:cs="Calibri" w:eastAsia="Times New Roman"/>
          <w:b/>
          <w:sz w:val="22"/>
          <w:szCs w:val="22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Crianças e Jovens Free - 4 noites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</w:t>
      </w:r>
      <w:r>
        <w:rPr>
          <w:rFonts w:ascii="Calibri" w:hAnsi="Calibri" w:cs="Calibri"/>
          <w:sz w:val="22"/>
          <w:szCs w:val="22"/>
        </w:rPr>
        <w:t xml:space="preserve">ara </w:t>
      </w:r>
      <w:r>
        <w:rPr>
          <w:rFonts w:ascii="Calibri" w:hAnsi="Calibri" w:cs="Calibri"/>
          <w:sz w:val="22"/>
          <w:szCs w:val="22"/>
        </w:rPr>
        <w:t xml:space="preserve">4</w:t>
      </w:r>
      <w:r>
        <w:rPr>
          <w:rFonts w:ascii="Calibri" w:hAnsi="Calibri" w:cs="Calibri"/>
          <w:sz w:val="22"/>
          <w:szCs w:val="22"/>
        </w:rPr>
        <w:t xml:space="preserve"> noites de hospedagem </w:t>
      </w:r>
      <w:r>
        <w:rPr>
          <w:rFonts w:ascii="Calibri" w:hAnsi="Calibri" w:cs="Calibri" w:eastAsia="Times New Roman"/>
          <w:sz w:val="22"/>
          <w:szCs w:val="22"/>
        </w:rPr>
        <w:t xml:space="preserve">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o hotel oferece: 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rPr>
          <w:rFonts w:ascii="Calibri" w:hAnsi="Calibri" w:cs="Calibri" w:eastAsia="Times New Roman"/>
          <w:b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</w:t>
      </w:r>
      <w:r>
        <w:rPr>
          <w:rFonts w:ascii="Calibri" w:hAnsi="Calibri" w:cs="Tahoma"/>
          <w:sz w:val="22"/>
          <w:szCs w:val="22"/>
        </w:rPr>
        <w:t xml:space="preserve">1 criança ou adolescente free   </w:t>
      </w: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Noite Free no Ritz-Carlton Santiago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</w:t>
      </w:r>
      <w:r>
        <w:rPr>
          <w:rFonts w:ascii="Calibri" w:hAnsi="Calibri" w:cs="Calibri"/>
          <w:sz w:val="22"/>
          <w:szCs w:val="22"/>
        </w:rPr>
        <w:t xml:space="preserve">ara </w:t>
      </w:r>
      <w:r>
        <w:rPr>
          <w:rFonts w:ascii="Calibri" w:hAnsi="Calibri" w:cs="Calibri"/>
          <w:sz w:val="22"/>
          <w:szCs w:val="22"/>
        </w:rPr>
        <w:t xml:space="preserve">4</w:t>
      </w:r>
      <w:r>
        <w:rPr>
          <w:rFonts w:ascii="Calibri" w:hAnsi="Calibri" w:cs="Calibri"/>
          <w:sz w:val="22"/>
          <w:szCs w:val="22"/>
        </w:rPr>
        <w:t xml:space="preserve"> noites de hospedagem </w:t>
      </w:r>
      <w:r>
        <w:rPr>
          <w:rFonts w:ascii="Calibri" w:hAnsi="Calibri" w:cs="Calibri" w:eastAsia="Times New Roman"/>
          <w:sz w:val="22"/>
          <w:szCs w:val="22"/>
        </w:rPr>
        <w:t xml:space="preserve">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o hotel oferece:  </w:t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Santiago, em apartamento Deluxe, com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café da manhã bu</w:t>
      </w:r>
      <w:r>
        <w:rPr>
          <w:rFonts w:ascii="Calibri" w:hAnsi="Calibri" w:cs="Calibri" w:eastAsia="Times New Roman"/>
          <w:sz w:val="22"/>
          <w:szCs w:val="22"/>
        </w:rPr>
        <w:t xml:space="preserve">ff</w:t>
      </w:r>
      <w:r>
        <w:rPr>
          <w:rFonts w:ascii="Calibri" w:hAnsi="Calibri" w:cs="Calibri" w:eastAsia="Times New Roman"/>
          <w:sz w:val="22"/>
          <w:szCs w:val="22"/>
        </w:rPr>
        <w:t xml:space="preserve">et.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tabs>
          <w:tab w:val="left" w:pos="5250" w:leader="none"/>
        </w:tabs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tabs>
          <w:tab w:val="left" w:pos="5250" w:leader="none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Noite free no Ritz-Carlton Santiago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&amp;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La Casona Viña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Matetic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</w:t>
      </w:r>
      <w:r>
        <w:rPr>
          <w:rFonts w:ascii="Calibri" w:hAnsi="Calibri" w:cs="Calibri"/>
          <w:sz w:val="22"/>
          <w:szCs w:val="22"/>
        </w:rPr>
        <w:t xml:space="preserve">ara 5 noites de hospedagem  </w:t>
      </w:r>
      <w:r>
        <w:rPr>
          <w:rFonts w:ascii="Calibri" w:hAnsi="Calibri" w:cs="Calibri" w:eastAsia="Times New Roman"/>
          <w:sz w:val="22"/>
          <w:szCs w:val="22"/>
        </w:rPr>
        <w:t xml:space="preserve">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o hotel oferece:  </w:t>
      </w:r>
      <w:r/>
    </w:p>
    <w:p>
      <w:pPr>
        <w:jc w:val="left"/>
        <w:widowControl/>
        <w:rPr>
          <w:rFonts w:ascii="DINNextLTPro-Regular" w:hAnsi="DINNextLTPro-Regular" w:cs="DINNextLTPro-Regular" w:eastAsia="Times New Roman"/>
          <w:sz w:val="18"/>
          <w:szCs w:val="18"/>
        </w:rPr>
      </w:pPr>
      <w:r>
        <w:rPr>
          <w:rFonts w:ascii="DINNextLTPro-Regular" w:hAnsi="DINNextLTPro-Regular" w:cs="DINNextLTPro-Regular" w:eastAsia="Times New Roman"/>
          <w:sz w:val="18"/>
          <w:szCs w:val="18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Santiago, em apartamento Deluxe, com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café da manhã bu</w:t>
      </w:r>
      <w:r>
        <w:rPr>
          <w:rFonts w:ascii="Calibri" w:hAnsi="Calibri" w:cs="Calibri" w:eastAsia="Times New Roman"/>
          <w:sz w:val="22"/>
          <w:szCs w:val="22"/>
        </w:rPr>
        <w:t xml:space="preserve">ffet 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no La Casona da Viña Matetic com jantar e café da manhã.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widowControl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Noite free no Ritz-Carlton Santiago &amp; </w:t>
      </w: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Clos Apalta Residence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Para </w:t>
      </w:r>
      <w:r>
        <w:rPr>
          <w:rFonts w:ascii="Calibri" w:hAnsi="Calibri" w:cs="Calibri" w:eastAsia="Times New Roman"/>
          <w:sz w:val="22"/>
          <w:szCs w:val="22"/>
        </w:rPr>
        <w:t xml:space="preserve">6</w:t>
      </w:r>
      <w:r>
        <w:rPr>
          <w:rFonts w:ascii="Calibri" w:hAnsi="Calibri" w:cs="Calibri" w:eastAsia="Times New Roman"/>
          <w:sz w:val="22"/>
          <w:szCs w:val="22"/>
        </w:rPr>
        <w:t xml:space="preserve"> noites de hospedagem 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o hotel oferece:  </w:t>
      </w:r>
      <w:r/>
    </w:p>
    <w:p>
      <w:pPr>
        <w:jc w:val="left"/>
        <w:tabs>
          <w:tab w:val="left" w:pos="525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Santiago, em apartamento Deluxe, com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café da manhã buffet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no Clos Apalta Residence com café da manhã.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widowControl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widowControl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br/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Lua de Mel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- 5 noites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Para </w:t>
      </w:r>
      <w:r>
        <w:rPr>
          <w:rFonts w:ascii="Calibri" w:hAnsi="Calibri" w:cs="Calibri" w:eastAsia="Times New Roman"/>
          <w:sz w:val="22"/>
          <w:szCs w:val="22"/>
        </w:rPr>
        <w:t xml:space="preserve">5</w:t>
      </w:r>
      <w:r>
        <w:rPr>
          <w:rFonts w:ascii="Calibri" w:hAnsi="Calibri" w:cs="Calibri" w:eastAsia="Times New Roman"/>
          <w:sz w:val="22"/>
          <w:szCs w:val="22"/>
        </w:rPr>
        <w:t xml:space="preserve"> noites de hospedagem 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o hotel oferece:  </w:t>
      </w:r>
      <w:r/>
    </w:p>
    <w:p>
      <w:pPr>
        <w:jc w:val="left"/>
        <w:widowControl/>
        <w:rPr>
          <w:rFonts w:ascii="DINNextLTPro-Regular" w:hAnsi="DINNextLTPro-Regular" w:cs="DINNextLTPro-Regular" w:eastAsia="Times New Roman"/>
          <w:sz w:val="18"/>
          <w:szCs w:val="18"/>
        </w:rPr>
      </w:pPr>
      <w:r>
        <w:rPr>
          <w:rFonts w:ascii="DINNextLTPro-Regular" w:hAnsi="DINNextLTPro-Regular" w:cs="DINNextLTPro-Regular" w:eastAsia="Times New Roman"/>
          <w:sz w:val="18"/>
          <w:szCs w:val="18"/>
        </w:rPr>
        <w:t xml:space="preserve"> 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Santiago, em apartamento Deluxe, com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>
        <w:rPr>
          <w:rFonts w:ascii="Calibri" w:hAnsi="Calibri" w:cs="Calibri" w:eastAsia="Times New Roman"/>
          <w:sz w:val="22"/>
          <w:szCs w:val="22"/>
        </w:rPr>
        <w:t xml:space="preserve">café da manhã bu</w:t>
      </w:r>
      <w:r>
        <w:rPr>
          <w:rFonts w:ascii="Calibri" w:hAnsi="Calibri" w:cs="Calibri" w:eastAsia="Times New Roman"/>
          <w:sz w:val="22"/>
          <w:szCs w:val="22"/>
        </w:rPr>
        <w:t xml:space="preserve">ff</w:t>
      </w:r>
      <w:r>
        <w:rPr>
          <w:rFonts w:ascii="Calibri" w:hAnsi="Calibri" w:cs="Calibri" w:eastAsia="Times New Roman"/>
          <w:sz w:val="22"/>
          <w:szCs w:val="22"/>
        </w:rPr>
        <w:t xml:space="preserve">et.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no Clos Apalta Residence, no Vale de Colchagua, com café da manhã a la carte.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  <w:u w:val="single"/>
        </w:rPr>
      </w:pPr>
      <w:r>
        <w:rPr>
          <w:rFonts w:ascii="Calibri" w:hAnsi="Calibri" w:cs="Calibri" w:eastAsia="Times New Roman"/>
          <w:sz w:val="22"/>
          <w:szCs w:val="22"/>
          <w:u w:val="single"/>
        </w:rPr>
        <w:t xml:space="preserve">No Tierra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Vinho espumante no apartamento em sua chegada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Massagem de cortesia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Brinde surpresa</w:t>
      </w:r>
      <w:r/>
    </w:p>
    <w:p>
      <w:pPr>
        <w:jc w:val="left"/>
        <w:widowControl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</w:t>
      </w:r>
      <w:r>
        <w:rPr>
          <w:rFonts w:ascii="Calibri" w:hAnsi="Calibri" w:cs="Calibri"/>
          <w:b/>
          <w:bCs/>
          <w:sz w:val="22"/>
          <w:szCs w:val="22"/>
          <w:u w:val="single"/>
        </w:rPr>
        <w:br/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/>
    </w:p>
    <w:p>
      <w:pPr>
        <w:jc w:val="left"/>
        <w:tabs>
          <w:tab w:val="left" w:pos="5250" w:leader="none"/>
        </w:tabs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</w:r>
      <w:r/>
    </w:p>
    <w:p>
      <w:pPr>
        <w:jc w:val="left"/>
        <w:rPr>
          <w:rFonts w:ascii="Calibri" w:hAnsi="Calibri" w:cs="Tahoma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Espírito do Chile </w:t>
      </w: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- </w:t>
      </w: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6 Noites</w:t>
      </w:r>
      <w:r/>
    </w:p>
    <w:p>
      <w:pPr>
        <w:jc w:val="left"/>
        <w:rPr>
          <w:rFonts w:ascii="Calibri" w:hAnsi="Calibri" w:cs="Tahoma"/>
          <w:b/>
          <w:bCs/>
          <w:color w:val="000000"/>
          <w:sz w:val="22"/>
          <w:szCs w:val="22"/>
        </w:rPr>
      </w:pP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10% de Desconto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Para </w:t>
      </w:r>
      <w:r>
        <w:rPr>
          <w:rFonts w:ascii="Calibri" w:hAnsi="Calibri" w:cs="Calibri" w:eastAsia="Times New Roman"/>
          <w:sz w:val="22"/>
          <w:szCs w:val="22"/>
        </w:rPr>
        <w:t xml:space="preserve">6</w:t>
      </w:r>
      <w:r>
        <w:rPr>
          <w:rFonts w:ascii="Calibri" w:hAnsi="Calibri" w:cs="Calibri" w:eastAsia="Times New Roman"/>
          <w:sz w:val="22"/>
          <w:szCs w:val="22"/>
        </w:rPr>
        <w:t xml:space="preserve"> noites de hospedagem 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o hotel oferece:  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10% de desconto na tarifa publicada.</w:t>
      </w:r>
      <w:r/>
    </w:p>
    <w:p>
      <w:pPr>
        <w:jc w:val="lef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</w:t>
      </w:r>
      <w:r>
        <w:rPr>
          <w:rFonts w:ascii="DINNextLTPro-Regular" w:hAnsi="DINNextLTPro-Regular" w:cs="DINNextLTPro-Regular" w:eastAsia="Times New Roman"/>
          <w:sz w:val="18"/>
          <w:szCs w:val="18"/>
        </w:rPr>
        <w:t xml:space="preserve">.</w:t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Espírito do Chile 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- 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7 Noites</w:t>
      </w:r>
      <w:r>
        <w:rPr>
          <w:rFonts w:ascii="Calibri" w:hAnsi="Calibri" w:cs="Tahoma"/>
          <w:b/>
          <w:bCs/>
          <w:sz w:val="22"/>
          <w:szCs w:val="22"/>
        </w:rPr>
        <w:t xml:space="preserve">  </w:t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10% de Desconto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Para </w:t>
      </w:r>
      <w:r>
        <w:rPr>
          <w:rFonts w:ascii="Calibri" w:hAnsi="Calibri" w:cs="Calibri" w:eastAsia="Times New Roman"/>
          <w:sz w:val="22"/>
          <w:szCs w:val="22"/>
        </w:rPr>
        <w:t xml:space="preserve">7</w:t>
      </w:r>
      <w:r>
        <w:rPr>
          <w:rFonts w:ascii="Calibri" w:hAnsi="Calibri" w:cs="Calibri" w:eastAsia="Times New Roman"/>
          <w:sz w:val="22"/>
          <w:szCs w:val="22"/>
        </w:rPr>
        <w:t xml:space="preserve"> noites de hospedagem 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o hotel oferece: 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10% de desconto.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</w:t>
      </w:r>
      <w:r>
        <w:rPr>
          <w:rFonts w:ascii="Calibri" w:hAnsi="Calibri" w:cs="Calibri" w:eastAsia="Times New Roman"/>
          <w:sz w:val="22"/>
          <w:szCs w:val="22"/>
        </w:rPr>
        <w:t xml:space="preserve">iago, em apartamento Clube, com </w:t>
      </w:r>
      <w:r>
        <w:rPr>
          <w:rFonts w:ascii="Calibri" w:hAnsi="Calibri" w:cs="Calibri" w:eastAsia="Times New Roman"/>
          <w:sz w:val="22"/>
          <w:szCs w:val="22"/>
        </w:rPr>
        <w:t xml:space="preserve">café da manhã e acesso ao Club Lounge.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widowControl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Calibri" w:eastAsia="Times New Roman"/>
          <w:color w:val="000000"/>
          <w:sz w:val="22"/>
          <w:szCs w:val="22"/>
        </w:rPr>
        <w:t xml:space="preserve"> </w:t>
      </w:r>
      <w:r/>
    </w:p>
    <w:p>
      <w:pPr>
        <w:jc w:val="left"/>
        <w:rPr>
          <w:rFonts w:ascii="Calibri" w:hAnsi="Calibri" w:cs="Tahoma" w:eastAsia="Times New Roman"/>
          <w:b/>
          <w:sz w:val="22"/>
          <w:szCs w:val="22"/>
        </w:rPr>
      </w:pPr>
      <w:r>
        <w:rPr>
          <w:rFonts w:ascii="Calibri" w:hAnsi="Calibri" w:cs="Tahoma" w:eastAsia="Times New Roman"/>
          <w:b/>
          <w:sz w:val="22"/>
          <w:szCs w:val="22"/>
        </w:rPr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Espírito do Chile 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- 8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Noites</w:t>
      </w:r>
      <w:r/>
    </w:p>
    <w:p>
      <w:pPr>
        <w:jc w:val="left"/>
        <w:rPr>
          <w:rFonts w:ascii="Calibri" w:hAnsi="Calibri" w:cs="Tahoma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15% de Desconto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Para 8</w:t>
      </w:r>
      <w:r>
        <w:rPr>
          <w:rFonts w:ascii="Calibri" w:hAnsi="Calibri" w:cs="Calibri" w:eastAsia="Times New Roman"/>
          <w:sz w:val="22"/>
          <w:szCs w:val="22"/>
        </w:rPr>
        <w:t xml:space="preserve"> noites </w:t>
      </w:r>
      <w:r>
        <w:rPr>
          <w:rFonts w:ascii="Calibri" w:hAnsi="Calibri" w:cs="Calibri" w:eastAsia="Times New Roman"/>
          <w:sz w:val="22"/>
          <w:szCs w:val="22"/>
        </w:rPr>
        <w:t xml:space="preserve">de hospedagem </w:t>
      </w:r>
      <w:r>
        <w:rPr>
          <w:rFonts w:ascii="Calibri" w:hAnsi="Calibri" w:cs="Calibri" w:eastAsia="Times New Roman"/>
          <w:sz w:val="22"/>
          <w:szCs w:val="22"/>
        </w:rPr>
        <w:t xml:space="preserve">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>
        <w:rPr>
          <w:rFonts w:ascii="Calibri" w:hAnsi="Calibri" w:cs="Calibri" w:eastAsia="Times New Roman"/>
          <w:sz w:val="22"/>
          <w:szCs w:val="22"/>
        </w:rPr>
        <w:t xml:space="preserve">o hotel oferece: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15% de desconto.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</w:t>
      </w:r>
      <w:r>
        <w:rPr>
          <w:rFonts w:ascii="Calibri" w:hAnsi="Calibri" w:cs="Calibri" w:eastAsia="Times New Roman"/>
          <w:sz w:val="22"/>
          <w:szCs w:val="22"/>
        </w:rPr>
        <w:t xml:space="preserve">iago, em apartamento Clube, com  </w:t>
      </w:r>
      <w:r>
        <w:rPr>
          <w:rFonts w:ascii="Calibri" w:hAnsi="Calibri" w:cs="Calibri" w:eastAsia="Times New Roman"/>
          <w:sz w:val="22"/>
          <w:szCs w:val="22"/>
        </w:rPr>
        <w:t xml:space="preserve">café da manhã e acesso ao Club Lounge.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Espírito do Chile 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- 9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Noites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15% de Desconto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Para 9</w:t>
      </w:r>
      <w:r>
        <w:rPr>
          <w:rFonts w:ascii="Calibri" w:hAnsi="Calibri" w:cs="Calibri" w:eastAsia="Times New Roman"/>
          <w:sz w:val="22"/>
          <w:szCs w:val="22"/>
        </w:rPr>
        <w:t xml:space="preserve"> noites </w:t>
      </w:r>
      <w:r>
        <w:rPr>
          <w:rFonts w:ascii="Calibri" w:hAnsi="Calibri" w:cs="Calibri" w:eastAsia="Times New Roman"/>
          <w:sz w:val="22"/>
          <w:szCs w:val="22"/>
        </w:rPr>
        <w:t xml:space="preserve">de hospedagem </w:t>
      </w:r>
      <w:r>
        <w:rPr>
          <w:rFonts w:ascii="Calibri" w:hAnsi="Calibri" w:cs="Calibri" w:eastAsia="Times New Roman"/>
          <w:sz w:val="22"/>
          <w:szCs w:val="22"/>
        </w:rPr>
        <w:t xml:space="preserve">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>
        <w:rPr>
          <w:rFonts w:ascii="Calibri" w:hAnsi="Calibri" w:cs="Calibri" w:eastAsia="Times New Roman"/>
          <w:sz w:val="22"/>
          <w:szCs w:val="22"/>
        </w:rPr>
        <w:t xml:space="preserve">o hotel oferece: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/>
    </w:p>
    <w:p>
      <w:pPr>
        <w:jc w:val="left"/>
        <w:widowControl/>
        <w:rPr>
          <w:rFonts w:ascii="DINNextLTPro-Regular" w:hAnsi="DINNextLTPro-Regular" w:cs="DINNextLTPro-Regular" w:eastAsia="Times New Roman"/>
          <w:sz w:val="18"/>
          <w:szCs w:val="18"/>
        </w:rPr>
      </w:pPr>
      <w:r>
        <w:rPr>
          <w:rFonts w:ascii="Calibri" w:hAnsi="Calibri" w:cs="Tahoma" w:eastAsia="Times New Roman"/>
          <w:sz w:val="22"/>
          <w:szCs w:val="22"/>
        </w:rPr>
        <w:t xml:space="preserve"> 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15% de desconto.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Santiago, em apartamento Clube, com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café da manhã e acesso ao Club Lounge.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no Clos Apalta Residence, no Vale de Colchagua, com café da manhã a la carte.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br/>
      </w:r>
      <w:r/>
    </w:p>
    <w:p>
      <w:pPr>
        <w:jc w:val="left"/>
        <w:rPr>
          <w:rFonts w:ascii="Calibri" w:hAnsi="Calibri" w:cs="Tahoma"/>
          <w:b/>
          <w:bCs/>
          <w:sz w:val="22"/>
          <w:szCs w:val="22"/>
          <w:u w:val="single"/>
        </w:rPr>
      </w:pP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Espírito do Chile 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- 10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Noites</w:t>
      </w:r>
      <w:r>
        <w:rPr>
          <w:rFonts w:ascii="Calibri" w:hAnsi="Calibri" w:cs="Tahoma"/>
          <w:b/>
          <w:bCs/>
          <w:sz w:val="22"/>
          <w:szCs w:val="22"/>
          <w:u w:val="single"/>
        </w:rPr>
        <w:t xml:space="preserve"> </w:t>
      </w:r>
      <w:r/>
    </w:p>
    <w:p>
      <w:pPr>
        <w:jc w:val="left"/>
        <w:rPr>
          <w:rFonts w:ascii="Calibri" w:hAnsi="Calibri" w:cs="Tahoma"/>
          <w:b/>
          <w:bCs/>
          <w:color w:val="000000"/>
          <w:sz w:val="22"/>
          <w:szCs w:val="22"/>
          <w:u w:val="single"/>
        </w:rPr>
      </w:pPr>
      <w:r>
        <w:rPr>
          <w:rFonts w:ascii="Calibri" w:hAnsi="Calibri" w:cs="Tahoma"/>
          <w:b/>
          <w:bCs/>
          <w:color w:val="000000" w:themeColor="text1"/>
          <w:sz w:val="22"/>
          <w:szCs w:val="22"/>
          <w:u w:val="single"/>
        </w:rPr>
        <w:t xml:space="preserve">15% de Desconto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Para </w:t>
      </w:r>
      <w:r>
        <w:rPr>
          <w:rFonts w:ascii="Calibri" w:hAnsi="Calibri" w:cs="Calibri" w:eastAsia="Times New Roman"/>
          <w:sz w:val="22"/>
          <w:szCs w:val="22"/>
        </w:rPr>
        <w:t xml:space="preserve">10 noites </w:t>
      </w:r>
      <w:r>
        <w:rPr>
          <w:rFonts w:ascii="Calibri" w:hAnsi="Calibri" w:cs="Calibri" w:eastAsia="Times New Roman"/>
          <w:sz w:val="22"/>
          <w:szCs w:val="22"/>
        </w:rPr>
        <w:t xml:space="preserve">de hospedagem </w:t>
      </w:r>
      <w:r>
        <w:rPr>
          <w:rFonts w:ascii="Calibri" w:hAnsi="Calibri" w:cs="Calibri" w:eastAsia="Times New Roman"/>
          <w:sz w:val="22"/>
          <w:szCs w:val="22"/>
        </w:rPr>
        <w:t xml:space="preserve">em sistema all inclusive em qualquer combinação dos hotéis Tierra</w:t>
      </w:r>
      <w:r>
        <w:rPr>
          <w:rFonts w:ascii="Calibri" w:hAnsi="Calibri" w:cs="Calibri" w:eastAsia="Times New Roman"/>
          <w:sz w:val="22"/>
          <w:szCs w:val="22"/>
        </w:rPr>
        <w:t xml:space="preserve">,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>
        <w:rPr>
          <w:rFonts w:ascii="Calibri" w:hAnsi="Calibri" w:cs="Calibri" w:eastAsia="Times New Roman"/>
          <w:sz w:val="22"/>
          <w:szCs w:val="22"/>
        </w:rPr>
        <w:t xml:space="preserve">o hotel oferece: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/>
    </w:p>
    <w:p>
      <w:pPr>
        <w:jc w:val="left"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15% de desconto</w:t>
      </w:r>
      <w:r>
        <w:rPr>
          <w:rFonts w:ascii="Calibri" w:hAnsi="Calibri" w:cs="Calibri" w:eastAsia="Times New Roman"/>
          <w:sz w:val="22"/>
          <w:szCs w:val="22"/>
        </w:rPr>
        <w:t xml:space="preserve"> 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gratuita no The Ritz-Carlton Sant</w:t>
      </w:r>
      <w:r>
        <w:rPr>
          <w:rFonts w:ascii="Calibri" w:hAnsi="Calibri" w:cs="Calibri" w:eastAsia="Times New Roman"/>
          <w:sz w:val="22"/>
          <w:szCs w:val="22"/>
        </w:rPr>
        <w:t xml:space="preserve">iago, em apartamento Clube, com </w:t>
      </w:r>
      <w:r>
        <w:rPr>
          <w:rFonts w:ascii="Calibri" w:hAnsi="Calibri" w:cs="Calibri" w:eastAsia="Times New Roman"/>
          <w:sz w:val="22"/>
          <w:szCs w:val="22"/>
        </w:rPr>
        <w:t xml:space="preserve">café da manhã e acesso ao Club Lounge.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1 noite no Clos Apalta Residence, no Vale de Colchagua, com café da manhã a la carte.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Traslados.</w:t>
      </w:r>
      <w:r/>
    </w:p>
    <w:p>
      <w:pPr>
        <w:jc w:val="left"/>
        <w:tabs>
          <w:tab w:val="left" w:pos="5250" w:leader="none"/>
        </w:tabs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Válido até 31 de maio de 2019.</w:t>
      </w:r>
      <w:r/>
    </w:p>
    <w:p>
      <w:pPr>
        <w:jc w:val="left"/>
        <w:tabs>
          <w:tab w:val="left" w:pos="5250" w:leader="none"/>
        </w:tabs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rPr>
          <w:rFonts w:ascii="Calibri" w:hAnsi="Calibri" w:cs="Arial" w:eastAsia="Andale Sans UI"/>
          <w:b/>
          <w:color w:val="000080"/>
          <w:sz w:val="26"/>
          <w:szCs w:val="26"/>
        </w:rPr>
      </w:pP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 </w:t>
      </w:r>
      <w:r/>
    </w:p>
    <w:p>
      <w:pPr>
        <w:jc w:val="left"/>
        <w:rPr>
          <w:rFonts w:ascii="Calibri" w:hAnsi="Calibri" w:cs="Arial" w:eastAsia="Andale Sans UI"/>
          <w:b/>
          <w:color w:val="000080"/>
          <w:sz w:val="26"/>
          <w:szCs w:val="26"/>
          <w:u w:val="single"/>
        </w:rPr>
      </w:pPr>
      <w:r>
        <w:rPr>
          <w:rFonts w:ascii="Calibri" w:hAnsi="Calibri" w:cs="Arial" w:eastAsia="Andale Sans UI"/>
          <w:b/>
          <w:color w:val="000080"/>
          <w:sz w:val="26"/>
          <w:szCs w:val="26"/>
        </w:rPr>
        <w:t xml:space="preserve"> </w:t>
      </w:r>
      <w:r>
        <w:rPr>
          <w:rFonts w:ascii="Calibri" w:hAnsi="Calibri" w:cs="Arial" w:eastAsia="Andale Sans UI"/>
          <w:b/>
          <w:color w:val="000080"/>
          <w:sz w:val="26"/>
          <w:szCs w:val="26"/>
          <w:u w:val="single"/>
        </w:rPr>
        <w:t xml:space="preserve">Condições e Restrições</w:t>
      </w:r>
      <w:r/>
    </w:p>
    <w:p>
      <w:pPr>
        <w:jc w:val="left"/>
        <w:tabs>
          <w:tab w:val="left" w:pos="5250" w:leader="none"/>
        </w:tabs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Promoções válidas para viagens até 31 de maio de 2019, excluindo o período de 20 de dezembro de 2018 a 2 de janeiro de 2019</w:t>
      </w:r>
      <w:r>
        <w:rPr>
          <w:rFonts w:ascii="Calibri" w:hAnsi="Calibri" w:cs="Calibri" w:eastAsia="Times New Roman"/>
          <w:sz w:val="22"/>
          <w:szCs w:val="22"/>
        </w:rPr>
        <w:t xml:space="preserve">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Se a promoção incluir uma estada no Tierra Patagonia, o número mínimo de noites é 3. Estadas combinadas devem ser consecutivas.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Promoções válidas de acordo com as datas indicadas.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The Ritz-Carlton, Santiago A estada gratuita no The Ritz-Carlton Santiago é em apartamento Deluxe duplo ou single. Inclui café da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manhã bu_et no restaurante Estro. As promoções “Espírito do Chile” de 7 a 10 noites também incluem acesso ao Club Lounge (serviço de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open bar com vinhos, cerveja e bebidas não alcoólicas, além de serviço contínuo de petiscos durante todo o dia)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Extras devem ser pagos diretamente ao The Ritz-Carlton Santiago. A estada gratuita está sujeita a disponibilidade e deve ser utilizada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imediatamente antes ou imediatamente depois da estada do hóspede em um dos hotéis Tierra. As reservas para o The Ritz-Carlton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Santiago devem ser feitas exclusivamente através do departamento de reservas da rede Tierra Hotels. Se não houver apartamentos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disponíveis no The Ritz-Carlton Santiago, será oferecido um apartamento de um hotel da mesma categoria ou outro benefício.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Crianças ou adolescentes dormem em cama extra, compartilhando um apartamento com ao menos um adulto.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Clos Apalta Residence A estada gratuita no Clos Apalta Residence é em apartamento duplo ou single e inclui café da manhã a la carte.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Extras, incluindo massagens, refeições, bebidas e excursões, devem ser pagos diretamente ao Clos Apalta Residence. A estada gratuita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está sujeita a disponibilidade e deve ser utilizada imediatamente antes ou imediatamente depois da estada do hóspede em um dos hotéis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Tierra. As reservas para o Clos Apalta Residence devem ser feitas exclusivamente através do departamento de reservas da rede Tierra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Hotels. Se não houver apartamentos disponíveis no Clos Apalta Residence, será oferecido um apartamento no hotel La Casona, da Viña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Matetic, ou em outro hotel da mesma categoria, ou outro benefício.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O Clos Apalta Residence está fechado durante o mês de agosto e é um estabelecimento exclusivo para adultos. Camas adicionais não são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permitidas.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Matetic Vineyard’s “La Casona” A estada gratuita no La Casona da Viña Matetic é em apartamento Standard single ou duplo e inclui café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da manhã bu_et e jantar com meia garrafa de vinho da marca Corralillo. Extras devem ser pagos diretamente para o La Casona. A estada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gratuita está sujeita a disponibilidade e deve ser utilizada imediatamente antes ou imediatamente depois da estada do hóspede em um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dos hotéis Tierra. As reservas para o La Casona devem ser feitas exclusivamente através do departamento de reservas da rede Tierra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Hotels. Se não houver apartamentos disponíveis no La Casona, será oferecido um apartamento em outro hotel da mesma categoria ou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outro benefício.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Condições especiais podem ser aplicadas para crianças e adolescentes que viajem com esta promoção.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Awa Hotel in Puerto Varas A estada gratuita no Awa Hotel de Puerto Varas inclui apartamento duplo ou single e café da manhã bu</w:t>
      </w:r>
      <w:r>
        <w:rPr>
          <w:rFonts w:ascii="Calibri" w:hAnsi="Calibri" w:cs="Calibri" w:eastAsia="Times New Roman"/>
          <w:sz w:val="22"/>
          <w:szCs w:val="22"/>
        </w:rPr>
        <w:t xml:space="preserve">ff</w:t>
      </w:r>
      <w:r>
        <w:rPr>
          <w:rFonts w:ascii="Calibri" w:hAnsi="Calibri" w:cs="Calibri" w:eastAsia="Times New Roman"/>
          <w:sz w:val="22"/>
          <w:szCs w:val="22"/>
        </w:rPr>
        <w:t xml:space="preserve">et.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Extras devem ser pagos diretamente ao Awa Hotel de Puerto Varas. A estada gratuita está sujeita a disponibilidade e deve ser utilizada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imediatamente antes ou imediatamente depois da estada do hóspede no Tierra Chiloé. As reservas para o Awa Hotel de Puerto Varas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devem ser feitas exclusivamente através do departamento de reservas da rede Tierra Hotels. Se não houver apartamentos disponíveis no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Awa Hotel de Puerto Varas, será oferecido um apartamento em outro hotel da mesma categoria ou outro benefício.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Crianças ou adolescentes dormem em cama extra, compartilhando um apartamento com ao menos um adulto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Transfers - de acordo com as inclusões nestes programas, traslados de chegada e saída estão incluídos às propriedades gratuitas. O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serviço de traslados será regular, somente com motorista, e possivelmente compartilhado com outros hóspedes da rede Tierra Hotels.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- Para/de Aeroporto de Santiago </w:t>
        <w:noBreakHyphen/>
        <w:t xml:space="preserve"> The Ritz-Carlton Santiago ou equivalente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- Para/de The Ritz-Carlton Santiago ou equivalente </w:t>
        <w:noBreakHyphen/>
        <w:t xml:space="preserve"> Clos Apalta Residence ou equivalente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- Para/de Clos Apalta Residence ou equivalente </w:t>
        <w:noBreakHyphen/>
        <w:t xml:space="preserve"> Aeroporto de Santiago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- Para/de Aeroporto de Puerto Montt </w:t>
        <w:noBreakHyphen/>
        <w:t xml:space="preserve"> Awa Hotel Puerto Varas ou equivalente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- Para/de Awa Hotel Puerto Varas ou equivalente </w:t>
        <w:noBreakHyphen/>
        <w:t xml:space="preserve"> Tierra Chiloé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Todos os traslados devem ser organizados exclusivamente pelo departamento de reservas da rede Tierra Hotels.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Crianças &amp; Adolescentes Grátis aplica-se somente a pais com seus filhos, com uma estada gratuita para um máximo de duas crianças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ou adolescentes até 17 anos por família (incluindo os menores de 4 anos), compartilhando um apartamento com seus pais.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Se uma mãe ou pai ficar sozinho com seu filho, o adulto pagará tarifa Single e a criança se hospedará gratuitamente.</w:t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</w:r>
      <w:r/>
    </w:p>
    <w:p>
      <w:pPr>
        <w:jc w:val="left"/>
        <w:widowControl/>
        <w:rPr>
          <w:rFonts w:ascii="Calibri" w:hAnsi="Calibri" w:cs="Calibri" w:eastAsia="Times New Roman"/>
          <w:sz w:val="22"/>
          <w:szCs w:val="22"/>
        </w:rPr>
      </w:pPr>
      <w:r>
        <w:rPr>
          <w:rFonts w:ascii="Calibri" w:hAnsi="Calibri" w:cs="Calibri" w:eastAsia="Times New Roman"/>
          <w:sz w:val="22"/>
          <w:szCs w:val="22"/>
        </w:rPr>
        <w:t xml:space="preserve">• Se a estada de mais de 10 noites não incluir o Tierra Chiloé e, por isso, o benefício do jantar a bordo do barco Williche nã</w:t>
      </w:r>
      <w:r>
        <w:rPr>
          <w:rFonts w:ascii="Calibri" w:hAnsi="Calibri" w:cs="Calibri" w:eastAsia="Times New Roman"/>
          <w:sz w:val="22"/>
          <w:szCs w:val="22"/>
        </w:rPr>
        <w:t xml:space="preserve">o for utilizado, </w:t>
      </w:r>
      <w:r>
        <w:rPr>
          <w:rFonts w:ascii="Calibri" w:hAnsi="Calibri" w:cs="Calibri" w:eastAsia="Times New Roman"/>
          <w:sz w:val="22"/>
          <w:szCs w:val="22"/>
        </w:rPr>
        <w:t xml:space="preserve">cada hóspede adulto que pagar tarifa all inclusive receberá um crédito de US$ 100 para utilização com extras, tais como serviços </w:t>
      </w:r>
      <w:r>
        <w:rPr>
          <w:rFonts w:ascii="Calibri" w:hAnsi="Calibri" w:cs="Calibri" w:eastAsia="Times New Roman"/>
          <w:color w:val="000000"/>
          <w:sz w:val="22"/>
          <w:szCs w:val="22"/>
        </w:rPr>
        <w:t xml:space="preserve">Spa ou vinhos premium no hotel Tierra de sua estada.</w:t>
      </w:r>
      <w:r/>
    </w:p>
    <w:p>
      <w:pPr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DINNextLTPro-Regular" w:hAnsi="DINNextLTPro-Regular" w:cs="DINNextLTPro-Regular" w:eastAsia="Times New Roman"/>
          <w:color w:val="FFFFFF"/>
          <w:sz w:val="17"/>
          <w:szCs w:val="17"/>
        </w:rPr>
        <w:t xml:space="preserve">Para</w:t>
      </w:r>
      <w:r/>
    </w:p>
    <w:p>
      <w:pPr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p>
      <w:pPr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p>
      <w:pPr>
        <w:jc w:val="left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</w:r>
      <w:r/>
    </w:p>
    <w:sectPr>
      <w:headerReference w:type="default" r:id="rId8"/>
      <w:footerReference w:type="default" r:id="rId9"/>
      <w:footnotePr/>
      <w:type w:val="nextPage"/>
      <w:pgSz w:w="11905" w:h="16837"/>
      <w:pgMar w:top="1758" w:right="1134" w:bottom="1418" w:left="1134" w:gutter="0" w:header="709" w:footer="567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INNextLTPro-Regular">
    <w:panose1 w:val="020B0802040504090204"/>
  </w:font>
  <w:font w:name="Andale Sans UI">
    <w:panose1 w:val="020B0802040504090204"/>
  </w:font>
  <w:font w:name="Calibri">
    <w:panose1 w:val="020F0502020204030204"/>
  </w:font>
  <w:font w:name="MS Mincho">
    <w:panose1 w:val="02020503050405090304"/>
  </w:font>
  <w:font w:name="Tahoma">
    <w:panose1 w:val="020B0606030504020204"/>
  </w:font>
  <w:font w:name="Wingdings 2">
    <w:panose1 w:val="05010000000000000000"/>
  </w:font>
  <w:font w:name="Verdana">
    <w:panose1 w:val="020B0606030504020204"/>
  </w:font>
  <w:font w:name="StarSymbol">
    <w:panose1 w:val="020B0802040504090204"/>
  </w:font>
  <w:font w:name="Courier New">
    <w:panose1 w:val="02070409020205020404"/>
  </w:font>
  <w:font w:name="Wingdings">
    <w:panose1 w:val="05010000000000000000"/>
  </w:font>
  <w:font w:name="Symbol">
    <w:panose1 w:val="05010000000000000000"/>
  </w:font>
  <w:font w:name="Arial">
    <w:panose1 w:val="020B0A04020102020204"/>
  </w:font>
  <w:font w:name="Arial Unicode MS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p>
    <w:pPr>
      <w:jc w:val="center"/>
      <w:spacing w:lineRule="auto" w:line="360" w:before="240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PAGE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1</w:t>
    </w:r>
    <w:r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/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\*Arabic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 xml:space="preserve">5</w:t>
    </w:r>
    <w:r>
      <w:rPr>
        <w:rFonts w:ascii="Calibri" w:hAnsi="Calibri"/>
        <w:sz w:val="16"/>
        <w:szCs w:val="16"/>
      </w:rPr>
      <w:fldChar w:fldCharType="end"/>
    </w:r>
    <w:r/>
  </w:p>
  <w:p>
    <w:pPr>
      <w:jc w:val="center"/>
      <w:rPr>
        <w:rFonts w:ascii="Calibri" w:hAnsi="Calibri"/>
        <w:sz w:val="18"/>
        <w:szCs w:val="18"/>
      </w:rPr>
    </w:pPr>
    <w:r>
      <w:rPr>
        <w:rFonts w:ascii="Calibri" w:hAnsi="Calibri"/>
        <w:b/>
        <w:sz w:val="18"/>
        <w:szCs w:val="18"/>
      </w:rPr>
      <w:t xml:space="preserve">Interpoint Viagens e Turismo Ltda</w:t>
    </w:r>
    <w:r>
      <w:rPr>
        <w:rFonts w:ascii="Calibri" w:hAnsi="Calibri"/>
        <w:sz w:val="18"/>
        <w:szCs w:val="18"/>
      </w:rPr>
      <w:t xml:space="preserve">. -  Tel.: 11 3087-9400 / Toll Free: 0800 771-9400 - www.interpoint.com.br</w: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p14">
  <w:tbl>
    <w:tblPr>
      <w:tblStyle w:val="267"/>
      <w:tblW w:w="0" w:type="auto"/>
      <w:tblBorders>
        <w:left w:val="none" w:sz="0" w:space="0" w:color="auto"/>
        <w:top w:val="none" w:sz="0" w:space="0" w:color="auto"/>
        <w:right w:val="none" w:sz="0" w:space="0" w:color="auto"/>
        <w:bottom w:val="single" w:color="FF0000" w:sz="4" w:space="0"/>
        <w:insideV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4833"/>
      <w:gridCol w:w="4804"/>
    </w:tblGrid>
    <w:tr>
      <w:trPr>
        <w:trHeight w:val="574"/>
      </w:trPr>
      <w:tc>
        <w:tcPr>
          <w:tcMar>
            <w:left w:w="0" w:type="dxa"/>
            <w:top w:w="0" w:type="auto"/>
            <w:right w:w="0" w:type="dxa"/>
            <w:bottom w:w="0" w:type="auto"/>
          </w:tcMar>
          <w:tcW w:w="4833" w:type="dxa"/>
          <w:textDirection w:val="lrTb"/>
          <w:noWrap w:val="false"/>
        </w:tcPr>
        <w:p>
          <w:pPr>
            <w:pStyle w:val="245"/>
          </w:pPr>
          <w:r>
            <w:rPr>
              <w:b/>
            </w:rPr>
            <w:drawing>
              <wp:inline xmlns:wp="http://schemas.openxmlformats.org/drawingml/2006/wordprocessingDrawing" distT="0" distB="0" distL="0" distR="0">
                <wp:extent cx="1442719" cy="299719"/>
                <wp:effectExtent l="19049" t="0" r="5079" b="0"/>
                <wp:docPr id="1" name="Imagem 9" descr="logotipo_Interpoint.wmf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m 9" descr="logotipo_Interpoint.wmf" hidden="0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/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/>
        </w:p>
      </w:tc>
      <w:tc>
        <w:tcPr>
          <w:tcMar>
            <w:left w:w="0" w:type="dxa"/>
            <w:top w:w="0" w:type="auto"/>
            <w:right w:w="0" w:type="dxa"/>
            <w:bottom w:w="0" w:type="auto"/>
          </w:tcMar>
          <w:tcW w:w="4805" w:type="dxa"/>
          <w:textDirection w:val="lrTb"/>
          <w:noWrap w:val="false"/>
        </w:tcPr>
        <w:p>
          <w:pPr>
            <w:pStyle w:val="245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eastAsia="zh-CN"/>
            </w:rPr>
            <w:t xml:space="preserve">TIERRA HOTELS</w:t>
          </w:r>
          <w:r>
            <w:rPr>
              <w:sz w:val="20"/>
              <w:szCs w:val="20"/>
              <w:lang w:eastAsia="zh-CN"/>
            </w:rPr>
            <w:t xml:space="preserve">| </w:t>
          </w:r>
          <w:r>
            <w:rPr>
              <w:b/>
              <w:sz w:val="20"/>
              <w:szCs w:val="20"/>
              <w:lang w:eastAsia="zh-CN"/>
            </w:rPr>
            <w:t xml:space="preserve">CHILE</w:t>
          </w:r>
          <w:r/>
        </w:p>
      </w:tc>
    </w:tr>
  </w:tbl>
  <w:p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1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2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3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4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5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6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7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  <w:lvl w:ilvl="8">
      <w:start w:val="1"/>
      <w:numFmt w:val="none"/>
      <w:suff w:val="nothing"/>
      <w:lvlText w:val=""/>
      <w:lvlJc w:val="left"/>
      <w:pPr>
        <w:ind w:left="0" w:hanging="0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ind w:left="1440" w:hanging="359"/>
      </w:pPr>
      <w:rPr>
        <w:rFonts w:ascii="Courier New" w:hAnsi="Courier New" w:cs="Courier New" w:eastAsia="Courier New" w:hint="default"/>
      </w:rPr>
    </w:lvl>
    <w:lvl w:ilvl="2">
      <w:start w:val="1"/>
      <w:numFmt w:val="bullet"/>
      <w:suff w:val="tab"/>
      <w:lvlText w:val="§"/>
      <w:lvlJc w:val="left"/>
      <w:pPr>
        <w:ind w:left="2160" w:hanging="359"/>
      </w:pPr>
      <w:rPr>
        <w:rFonts w:ascii="Wingdings" w:hAnsi="Wingdings" w:cs="Wingdings" w:eastAsia="Wingdings" w:hint="default"/>
      </w:rPr>
    </w:lvl>
    <w:lvl w:ilvl="3">
      <w:start w:val="1"/>
      <w:numFmt w:val="bullet"/>
      <w:suff w:val="tab"/>
      <w:lvlText w:val="·"/>
      <w:lvlJc w:val="left"/>
      <w:pPr>
        <w:ind w:left="2880" w:hanging="359"/>
      </w:pPr>
      <w:rPr>
        <w:rFonts w:ascii="Symbol" w:hAnsi="Symbol" w:cs="Symbol" w:eastAsia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59"/>
      </w:pPr>
      <w:rPr>
        <w:rFonts w:ascii="Courier New" w:hAnsi="Courier New" w:cs="Courier New" w:eastAsia="Courier New" w:hint="default"/>
      </w:rPr>
    </w:lvl>
    <w:lvl w:ilvl="5">
      <w:start w:val="1"/>
      <w:numFmt w:val="bullet"/>
      <w:suff w:val="tab"/>
      <w:lvlText w:val="§"/>
      <w:lvlJc w:val="left"/>
      <w:pPr>
        <w:ind w:left="4320" w:hanging="359"/>
      </w:pPr>
      <w:rPr>
        <w:rFonts w:ascii="Wingdings" w:hAnsi="Wingdings" w:cs="Wingdings" w:eastAsia="Wingdings" w:hint="default"/>
      </w:rPr>
    </w:lvl>
    <w:lvl w:ilvl="6">
      <w:start w:val="1"/>
      <w:numFmt w:val="bullet"/>
      <w:suff w:val="tab"/>
      <w:lvlText w:val="·"/>
      <w:lvlJc w:val="left"/>
      <w:pPr>
        <w:ind w:left="5040" w:hanging="359"/>
      </w:pPr>
      <w:rPr>
        <w:rFonts w:ascii="Symbol" w:hAnsi="Symbol" w:cs="Symbol" w:eastAsia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59"/>
      </w:pPr>
      <w:rPr>
        <w:rFonts w:ascii="Courier New" w:hAnsi="Courier New" w:cs="Courier New" w:eastAsia="Courier New" w:hint="default"/>
      </w:rPr>
    </w:lvl>
    <w:lvl w:ilvl="8">
      <w:start w:val="1"/>
      <w:numFmt w:val="bullet"/>
      <w:suff w:val="tab"/>
      <w:lvlText w:val="§"/>
      <w:lvlJc w:val="left"/>
      <w:pPr>
        <w:ind w:left="6480" w:hanging="359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bullet"/>
      <w:suff w:val="tab"/>
      <w:lvlText w:val=""/>
      <w:lvlJc w:val="left"/>
      <w:pPr>
        <w:ind w:left="360" w:hanging="359"/>
      </w:pPr>
      <w:rPr>
        <w:rFonts w:ascii="Symbol" w:hAnsi="Symbol" w:hint="default"/>
      </w:rPr>
    </w:lvl>
    <w:lvl w:ilvl="1">
      <w:start w:val="1"/>
      <w:numFmt w:val="bullet"/>
      <w:suff w:val="tab"/>
      <w:lvlText w:val="o"/>
      <w:lvlJc w:val="left"/>
      <w:pPr>
        <w:ind w:left="1080" w:hanging="359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1800" w:hanging="359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520" w:hanging="359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240" w:hanging="359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3960" w:hanging="359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4680" w:hanging="359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400" w:hanging="359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120" w:hanging="359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suff w:val="tab"/>
      <w:lvlText w:val="o"/>
      <w:lvlJc w:val="left"/>
      <w:pPr>
        <w:ind w:left="1440" w:hanging="359"/>
        <w:tabs>
          <w:tab w:val="left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suff w:val="tab"/>
      <w:lvlText w:val=""/>
      <w:lvlJc w:val="left"/>
      <w:pPr>
        <w:ind w:left="2160" w:hanging="359"/>
        <w:tabs>
          <w:tab w:val="left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suff w:val="tab"/>
      <w:lvlText w:val="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suff w:val="tab"/>
      <w:lvlText w:val=""/>
      <w:lvlJc w:val="left"/>
      <w:pPr>
        <w:ind w:left="3600" w:hanging="359"/>
        <w:tabs>
          <w:tab w:val="left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suff w:val="tab"/>
      <w:lvlText w:val=""/>
      <w:lvlJc w:val="left"/>
      <w:pPr>
        <w:ind w:left="4320" w:hanging="359"/>
        <w:tabs>
          <w:tab w:val="left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suff w:val="tab"/>
      <w:lvlText w:val=""/>
      <w:lvlJc w:val="left"/>
      <w:pPr>
        <w:ind w:left="5040" w:hanging="359"/>
        <w:tabs>
          <w:tab w:val="left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suff w:val="tab"/>
      <w:lvlText w:val=""/>
      <w:lvlJc w:val="left"/>
      <w:pPr>
        <w:ind w:left="5760" w:hanging="359"/>
        <w:tabs>
          <w:tab w:val="left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suff w:val="tab"/>
      <w:lvlText w:val=""/>
      <w:lvlJc w:val="left"/>
      <w:pPr>
        <w:ind w:left="6480" w:hanging="359"/>
        <w:tabs>
          <w:tab w:val="left" w:pos="6480" w:leader="none"/>
        </w:tabs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pt-BR" w:bidi="ar-SA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182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character" w:styleId="14">
    <w:name w:val="Heading 2 Char"/>
    <w:basedOn w:val="182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character" w:styleId="16">
    <w:name w:val="Heading 3 Char"/>
    <w:basedOn w:val="182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character" w:styleId="18">
    <w:name w:val="Heading 4 Char"/>
    <w:basedOn w:val="182"/>
    <w:uiPriority w:val="9"/>
    <w:rPr>
      <w:rFonts w:ascii="Arial" w:hAnsi="Arial" w:cs="Arial" w:eastAsia="Arial"/>
      <w:color w:val="232323"/>
      <w:sz w:val="32"/>
      <w:szCs w:val="32"/>
    </w:rPr>
  </w:style>
  <w:style w:type="character" w:styleId="20">
    <w:name w:val="Heading 5 Char"/>
    <w:basedOn w:val="182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character" w:styleId="22">
    <w:name w:val="Heading 6 Char"/>
    <w:basedOn w:val="182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character" w:styleId="24">
    <w:name w:val="Heading 7 Char"/>
    <w:basedOn w:val="182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character" w:styleId="26">
    <w:name w:val="Heading 8 Char"/>
    <w:basedOn w:val="182"/>
    <w:uiPriority w:val="9"/>
    <w:rPr>
      <w:rFonts w:ascii="Arial" w:hAnsi="Arial" w:cs="Arial" w:eastAsia="Arial"/>
      <w:color w:val="444444"/>
      <w:sz w:val="24"/>
      <w:szCs w:val="24"/>
    </w:rPr>
  </w:style>
  <w:style w:type="character" w:styleId="28">
    <w:name w:val="Heading 9 Char"/>
    <w:basedOn w:val="182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31">
    <w:name w:val="No Spacing"/>
    <w:basedOn w:val="172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72"/>
    <w:next w:val="172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72"/>
    <w:next w:val="172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72"/>
    <w:next w:val="172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72"/>
    <w:next w:val="172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table" w:styleId="39">
    <w:name w:val="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8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8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2">
    <w:name w:val="Footnote Text Char"/>
    <w:basedOn w:val="182"/>
    <w:uiPriority w:val="99"/>
    <w:semiHidden/>
    <w:rPr>
      <w:sz w:val="20"/>
    </w:rPr>
  </w:style>
  <w:style w:type="character" w:styleId="63">
    <w:name w:val="footnote reference"/>
    <w:basedOn w:val="182"/>
    <w:uiPriority w:val="99"/>
    <w:semiHidden/>
    <w:unhideWhenUsed/>
    <w:rPr>
      <w:vertAlign w:val="superscript"/>
    </w:rPr>
  </w:style>
  <w:style w:type="paragraph" w:styleId="64">
    <w:name w:val="toc 1"/>
    <w:basedOn w:val="172"/>
    <w:next w:val="172"/>
    <w:uiPriority w:val="39"/>
    <w:unhideWhenUsed/>
    <w:pPr>
      <w:ind w:left="0" w:right="0" w:hanging="0"/>
      <w:spacing w:after="57"/>
    </w:pPr>
  </w:style>
  <w:style w:type="paragraph" w:styleId="65">
    <w:name w:val="toc 2"/>
    <w:basedOn w:val="172"/>
    <w:next w:val="172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72"/>
    <w:next w:val="172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72"/>
    <w:next w:val="172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72"/>
    <w:next w:val="172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72"/>
    <w:next w:val="172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72"/>
    <w:next w:val="172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72"/>
    <w:next w:val="172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72"/>
    <w:next w:val="172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72" w:default="1">
    <w:name w:val="Normal"/>
    <w:qFormat/>
    <w:rPr>
      <w:rFonts w:eastAsia="Arial Unicode MS"/>
      <w:sz w:val="24"/>
      <w:szCs w:val="24"/>
    </w:rPr>
    <w:pPr>
      <w:widowControl w:val="off"/>
    </w:pPr>
  </w:style>
  <w:style w:type="paragraph" w:styleId="173">
    <w:name w:val="Heading 1"/>
    <w:basedOn w:val="244"/>
    <w:next w:val="240"/>
    <w:qFormat/>
    <w:rPr>
      <w:b/>
      <w:bCs/>
      <w:sz w:val="32"/>
      <w:szCs w:val="32"/>
    </w:rPr>
    <w:pPr>
      <w:tabs>
        <w:tab w:val="left" w:pos="0" w:leader="none"/>
      </w:tabs>
      <w:outlineLvl w:val="0"/>
    </w:pPr>
  </w:style>
  <w:style w:type="paragraph" w:styleId="174">
    <w:name w:val="Heading 2"/>
    <w:basedOn w:val="244"/>
    <w:next w:val="240"/>
    <w:qFormat/>
    <w:rPr>
      <w:b/>
      <w:bCs/>
      <w:i/>
      <w:iCs/>
    </w:rPr>
    <w:pPr>
      <w:tabs>
        <w:tab w:val="left" w:pos="0" w:leader="none"/>
      </w:tabs>
      <w:outlineLvl w:val="1"/>
    </w:pPr>
  </w:style>
  <w:style w:type="paragraph" w:styleId="175">
    <w:name w:val="Heading 3"/>
    <w:basedOn w:val="244"/>
    <w:next w:val="240"/>
    <w:qFormat/>
    <w:rPr>
      <w:b/>
      <w:bCs/>
    </w:rPr>
    <w:pPr>
      <w:tabs>
        <w:tab w:val="left" w:pos="0" w:leader="none"/>
      </w:tabs>
      <w:outlineLvl w:val="2"/>
    </w:pPr>
  </w:style>
  <w:style w:type="paragraph" w:styleId="176">
    <w:name w:val="Heading 4"/>
    <w:basedOn w:val="244"/>
    <w:next w:val="240"/>
    <w:qFormat/>
    <w:rPr>
      <w:b/>
      <w:bCs/>
      <w:i/>
      <w:iCs/>
      <w:sz w:val="24"/>
      <w:szCs w:val="24"/>
    </w:rPr>
    <w:pPr>
      <w:tabs>
        <w:tab w:val="left" w:pos="0" w:leader="none"/>
      </w:tabs>
      <w:outlineLvl w:val="3"/>
    </w:pPr>
  </w:style>
  <w:style w:type="paragraph" w:styleId="177">
    <w:name w:val="Heading 5"/>
    <w:basedOn w:val="244"/>
    <w:next w:val="240"/>
    <w:qFormat/>
    <w:rPr>
      <w:b/>
      <w:bCs/>
      <w:sz w:val="24"/>
      <w:szCs w:val="24"/>
    </w:rPr>
    <w:pPr>
      <w:tabs>
        <w:tab w:val="left" w:pos="0" w:leader="none"/>
      </w:tabs>
      <w:outlineLvl w:val="4"/>
    </w:pPr>
  </w:style>
  <w:style w:type="paragraph" w:styleId="178">
    <w:name w:val="Heading 6"/>
    <w:basedOn w:val="244"/>
    <w:next w:val="240"/>
    <w:qFormat/>
    <w:rPr>
      <w:b/>
      <w:bCs/>
      <w:sz w:val="21"/>
      <w:szCs w:val="21"/>
    </w:rPr>
    <w:pPr>
      <w:tabs>
        <w:tab w:val="left" w:pos="0" w:leader="none"/>
      </w:tabs>
      <w:outlineLvl w:val="5"/>
    </w:pPr>
  </w:style>
  <w:style w:type="paragraph" w:styleId="179">
    <w:name w:val="Heading 7"/>
    <w:basedOn w:val="244"/>
    <w:next w:val="240"/>
    <w:qFormat/>
    <w:rPr>
      <w:b/>
      <w:bCs/>
      <w:sz w:val="21"/>
      <w:szCs w:val="21"/>
    </w:rPr>
    <w:pPr>
      <w:tabs>
        <w:tab w:val="left" w:pos="0" w:leader="none"/>
      </w:tabs>
      <w:outlineLvl w:val="6"/>
    </w:pPr>
  </w:style>
  <w:style w:type="paragraph" w:styleId="180">
    <w:name w:val="Heading 8"/>
    <w:basedOn w:val="244"/>
    <w:next w:val="240"/>
    <w:qFormat/>
    <w:rPr>
      <w:b/>
      <w:bCs/>
      <w:sz w:val="21"/>
      <w:szCs w:val="21"/>
    </w:rPr>
    <w:pPr>
      <w:tabs>
        <w:tab w:val="left" w:pos="0" w:leader="none"/>
      </w:tabs>
      <w:outlineLvl w:val="7"/>
    </w:pPr>
  </w:style>
  <w:style w:type="paragraph" w:styleId="181">
    <w:name w:val="Heading 9"/>
    <w:basedOn w:val="244"/>
    <w:next w:val="240"/>
    <w:qFormat/>
    <w:rPr>
      <w:b/>
      <w:bCs/>
      <w:sz w:val="21"/>
      <w:szCs w:val="21"/>
    </w:rPr>
    <w:pPr>
      <w:tabs>
        <w:tab w:val="left" w:pos="0" w:leader="none"/>
      </w:tabs>
      <w:outlineLvl w:val="8"/>
    </w:pPr>
  </w:style>
  <w:style w:type="character" w:styleId="182" w:default="1">
    <w:name w:val="Default Paragraph Font"/>
    <w:uiPriority w:val="1"/>
    <w:semiHidden/>
    <w:unhideWhenUsed/>
  </w:style>
  <w:style w:type="table" w:styleId="18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84" w:default="1">
    <w:name w:val="No List"/>
    <w:uiPriority w:val="99"/>
    <w:semiHidden/>
    <w:unhideWhenUsed/>
  </w:style>
  <w:style w:type="character" w:styleId="185">
    <w:name w:val="WW8Num2z0"/>
    <w:rPr>
      <w:rFonts w:ascii="Symbol" w:hAnsi="Symbol"/>
    </w:rPr>
  </w:style>
  <w:style w:type="character" w:styleId="186">
    <w:name w:val="WW8Num3z0"/>
    <w:rPr>
      <w:rFonts w:ascii="Symbol" w:hAnsi="Symbol"/>
    </w:rPr>
  </w:style>
  <w:style w:type="character" w:styleId="187">
    <w:name w:val="WW8Num4z0"/>
    <w:rPr>
      <w:rFonts w:ascii="Symbol" w:hAnsi="Symbol"/>
    </w:rPr>
  </w:style>
  <w:style w:type="character" w:styleId="188">
    <w:name w:val="Absatz-Standardschriftart"/>
  </w:style>
  <w:style w:type="character" w:styleId="189">
    <w:name w:val="WW-Absatz-Standardschriftart"/>
  </w:style>
  <w:style w:type="character" w:styleId="190">
    <w:name w:val="WW-Absatz-Standardschriftart1"/>
  </w:style>
  <w:style w:type="character" w:styleId="191">
    <w:name w:val="WW-Absatz-Standardschriftart11"/>
  </w:style>
  <w:style w:type="character" w:styleId="192">
    <w:name w:val="WW-Absatz-Standardschriftart111"/>
  </w:style>
  <w:style w:type="character" w:styleId="193">
    <w:name w:val="WW-Absatz-Standardschriftart1111"/>
  </w:style>
  <w:style w:type="character" w:styleId="194">
    <w:name w:val="WW-Absatz-Standardschriftart11111"/>
  </w:style>
  <w:style w:type="character" w:styleId="195">
    <w:name w:val="WW-Absatz-Standardschriftart111111"/>
  </w:style>
  <w:style w:type="character" w:styleId="196">
    <w:name w:val="WW-Absatz-Standardschriftart1111111"/>
  </w:style>
  <w:style w:type="character" w:styleId="197">
    <w:name w:val="WW-Absatz-Standardschriftart11111111"/>
  </w:style>
  <w:style w:type="character" w:styleId="198">
    <w:name w:val="WW-Absatz-Standardschriftart111111111"/>
  </w:style>
  <w:style w:type="character" w:styleId="199">
    <w:name w:val="WW-Absatz-Standardschriftart1111111111"/>
  </w:style>
  <w:style w:type="character" w:styleId="200">
    <w:name w:val="WW-Absatz-Standardschriftart11111111111"/>
  </w:style>
  <w:style w:type="character" w:styleId="201">
    <w:name w:val="WW8Num5z0"/>
    <w:rPr>
      <w:rFonts w:ascii="Wingdings" w:hAnsi="Wingdings" w:cs="StarSymbol"/>
      <w:sz w:val="18"/>
      <w:szCs w:val="18"/>
    </w:rPr>
  </w:style>
  <w:style w:type="character" w:styleId="202">
    <w:name w:val="WW8Num6z0"/>
    <w:rPr>
      <w:rFonts w:ascii="Wingdings" w:hAnsi="Wingdings"/>
    </w:rPr>
  </w:style>
  <w:style w:type="character" w:styleId="203">
    <w:name w:val="WW-Absatz-Standardschriftart111111111111"/>
  </w:style>
  <w:style w:type="character" w:styleId="204">
    <w:name w:val="WW-Absatz-Standardschriftart1111111111111"/>
  </w:style>
  <w:style w:type="character" w:styleId="205">
    <w:name w:val="WW-Absatz-Standardschriftart11111111111111"/>
  </w:style>
  <w:style w:type="character" w:styleId="206">
    <w:name w:val="WW8Num2z1"/>
    <w:rPr>
      <w:rFonts w:ascii="Courier New" w:hAnsi="Courier New" w:cs="Courier New"/>
    </w:rPr>
  </w:style>
  <w:style w:type="character" w:styleId="207">
    <w:name w:val="WW8Num2z2"/>
    <w:rPr>
      <w:rFonts w:ascii="Wingdings" w:hAnsi="Wingdings"/>
    </w:rPr>
  </w:style>
  <w:style w:type="character" w:styleId="208">
    <w:name w:val="WW8Num3z1"/>
    <w:rPr>
      <w:rFonts w:ascii="Courier New" w:hAnsi="Courier New" w:cs="Courier New"/>
    </w:rPr>
  </w:style>
  <w:style w:type="character" w:styleId="209">
    <w:name w:val="WW8Num3z2"/>
    <w:rPr>
      <w:rFonts w:ascii="Wingdings" w:hAnsi="Wingdings"/>
    </w:rPr>
  </w:style>
  <w:style w:type="character" w:styleId="210">
    <w:name w:val="WW8Num4z1"/>
    <w:rPr>
      <w:rFonts w:ascii="Courier New" w:hAnsi="Courier New" w:cs="Courier New"/>
    </w:rPr>
  </w:style>
  <w:style w:type="character" w:styleId="211">
    <w:name w:val="WW8Num4z2"/>
    <w:rPr>
      <w:rFonts w:ascii="Wingdings" w:hAnsi="Wingdings"/>
    </w:rPr>
  </w:style>
  <w:style w:type="character" w:styleId="212">
    <w:name w:val="WW-Absatz-Standardschriftart111111111111111"/>
  </w:style>
  <w:style w:type="character" w:styleId="213">
    <w:name w:val="WW-Absatz-Standardschriftart1111111111111111"/>
  </w:style>
  <w:style w:type="character" w:styleId="214">
    <w:name w:val="WW-Absatz-Standardschriftart11111111111111111"/>
  </w:style>
  <w:style w:type="character" w:styleId="215">
    <w:name w:val="WW-Absatz-Standardschriftart111111111111111111"/>
  </w:style>
  <w:style w:type="character" w:styleId="216">
    <w:name w:val="WW-Absatz-Standardschriftart1111111111111111111"/>
  </w:style>
  <w:style w:type="character" w:styleId="217">
    <w:name w:val="WW8Num1z0"/>
    <w:rPr>
      <w:rFonts w:ascii="Wingdings" w:hAnsi="Wingdings"/>
    </w:rPr>
  </w:style>
  <w:style w:type="character" w:styleId="218">
    <w:name w:val="WW8Num1z1"/>
    <w:rPr>
      <w:rFonts w:ascii="Wingdings 2" w:hAnsi="Wingdings 2" w:cs="Courier New"/>
    </w:rPr>
  </w:style>
  <w:style w:type="character" w:styleId="219">
    <w:name w:val="WW8Num1z2"/>
    <w:rPr>
      <w:rFonts w:ascii="StarSymbol" w:hAnsi="StarSymbol"/>
    </w:rPr>
  </w:style>
  <w:style w:type="character" w:styleId="220">
    <w:name w:val="WW-Absatz-Standardschriftart11111111111111111111"/>
  </w:style>
  <w:style w:type="character" w:styleId="221">
    <w:name w:val="WW-Absatz-Standardschriftart111111111111111111111"/>
  </w:style>
  <w:style w:type="character" w:styleId="222">
    <w:name w:val="WW-Absatz-Standardschriftart1111111111111111111111"/>
  </w:style>
  <w:style w:type="character" w:styleId="223">
    <w:name w:val="Símbolos de numeração"/>
  </w:style>
  <w:style w:type="character" w:styleId="224">
    <w:name w:val="Marcadores"/>
    <w:rPr>
      <w:rFonts w:ascii="StarSymbol" w:hAnsi="StarSymbol" w:cs="StarSymbol" w:eastAsia="StarSymbol"/>
      <w:sz w:val="18"/>
      <w:szCs w:val="18"/>
    </w:rPr>
  </w:style>
  <w:style w:type="character" w:styleId="225">
    <w:name w:val="Caracteres de Nota de Rodapé"/>
  </w:style>
  <w:style w:type="character" w:styleId="226">
    <w:name w:val="Caracteres de Nota de Fim"/>
  </w:style>
  <w:style w:type="character" w:styleId="227">
    <w:name w:val="Hyperlink"/>
    <w:rPr>
      <w:color w:val="000080"/>
      <w:u w:val="single"/>
    </w:rPr>
  </w:style>
  <w:style w:type="character" w:styleId="228">
    <w:name w:val="FollowedHyperlink"/>
    <w:rPr>
      <w:color w:val="800000"/>
      <w:u w:val="single"/>
    </w:rPr>
  </w:style>
  <w:style w:type="character" w:styleId="229">
    <w:name w:val="Fonte parág. padrão1"/>
  </w:style>
  <w:style w:type="character" w:styleId="230">
    <w:name w:val="Emphasis"/>
    <w:basedOn w:val="229"/>
    <w:qFormat/>
    <w:rPr>
      <w:i/>
      <w:iCs/>
    </w:rPr>
  </w:style>
  <w:style w:type="character" w:styleId="231">
    <w:name w:val="Strong"/>
    <w:basedOn w:val="229"/>
    <w:qFormat/>
    <w:rPr>
      <w:b/>
      <w:bCs/>
    </w:rPr>
  </w:style>
  <w:style w:type="character" w:styleId="232">
    <w:name w:val="WW8Num6z1"/>
    <w:rPr>
      <w:rFonts w:ascii="Courier New" w:hAnsi="Courier New" w:cs="Courier New"/>
    </w:rPr>
  </w:style>
  <w:style w:type="character" w:styleId="233">
    <w:name w:val="WW8Num6z3"/>
    <w:rPr>
      <w:rFonts w:ascii="Symbol" w:hAnsi="Symbol"/>
    </w:rPr>
  </w:style>
  <w:style w:type="character" w:styleId="234">
    <w:name w:val="WW8Num7z0"/>
    <w:rPr>
      <w:rFonts w:ascii="Symbol" w:hAnsi="Symbol"/>
    </w:rPr>
  </w:style>
  <w:style w:type="character" w:styleId="235">
    <w:name w:val="WW8Num7z1"/>
    <w:rPr>
      <w:rFonts w:ascii="Courier New" w:hAnsi="Courier New" w:cs="Courier New"/>
    </w:rPr>
  </w:style>
  <w:style w:type="character" w:styleId="236">
    <w:name w:val="WW8Num7z2"/>
    <w:rPr>
      <w:rFonts w:ascii="Wingdings" w:hAnsi="Wingdings"/>
    </w:rPr>
  </w:style>
  <w:style w:type="character" w:styleId="237">
    <w:name w:val="WW8Num5z1"/>
    <w:rPr>
      <w:rFonts w:ascii="Courier New" w:hAnsi="Courier New" w:cs="Courier New"/>
    </w:rPr>
  </w:style>
  <w:style w:type="character" w:styleId="238">
    <w:name w:val="WW8Num5z2"/>
    <w:rPr>
      <w:rFonts w:ascii="Wingdings" w:hAnsi="Wingdings"/>
    </w:rPr>
  </w:style>
  <w:style w:type="paragraph" w:styleId="239">
    <w:name w:val="Título1"/>
    <w:basedOn w:val="172"/>
    <w:next w:val="240"/>
    <w:rPr>
      <w:rFonts w:ascii="Arial" w:hAnsi="Arial" w:cs="Tahoma" w:eastAsia="MS Mincho"/>
      <w:sz w:val="28"/>
      <w:szCs w:val="28"/>
    </w:rPr>
    <w:pPr>
      <w:keepNext/>
      <w:spacing w:after="120" w:before="240"/>
    </w:pPr>
  </w:style>
  <w:style w:type="paragraph" w:styleId="240">
    <w:name w:val="Body Text"/>
    <w:basedOn w:val="172"/>
    <w:pPr>
      <w:spacing w:after="120"/>
    </w:pPr>
  </w:style>
  <w:style w:type="paragraph" w:styleId="241">
    <w:name w:val="List"/>
    <w:basedOn w:val="240"/>
    <w:rPr>
      <w:rFonts w:cs="Tahoma"/>
    </w:rPr>
  </w:style>
  <w:style w:type="paragraph" w:styleId="242">
    <w:name w:val="Legenda1"/>
    <w:basedOn w:val="172"/>
    <w:rPr>
      <w:rFonts w:cs="Tahoma"/>
      <w:i/>
      <w:iCs/>
    </w:rPr>
    <w:pPr>
      <w:spacing w:after="120" w:before="120"/>
    </w:pPr>
  </w:style>
  <w:style w:type="paragraph" w:styleId="243">
    <w:name w:val="Índice"/>
    <w:basedOn w:val="172"/>
    <w:rPr>
      <w:rFonts w:cs="Tahoma"/>
    </w:rPr>
  </w:style>
  <w:style w:type="paragraph" w:styleId="244">
    <w:name w:val="Capítulo"/>
    <w:basedOn w:val="172"/>
    <w:next w:val="240"/>
    <w:rPr>
      <w:rFonts w:ascii="Arial" w:hAnsi="Arial" w:cs="Tahoma"/>
      <w:sz w:val="28"/>
      <w:szCs w:val="28"/>
    </w:rPr>
    <w:pPr>
      <w:keepNext/>
      <w:spacing w:after="120" w:before="240"/>
    </w:pPr>
  </w:style>
  <w:style w:type="paragraph" w:styleId="245">
    <w:name w:val="Header"/>
    <w:basedOn w:val="172"/>
    <w:uiPriority w:val="99"/>
    <w:pPr>
      <w:tabs>
        <w:tab w:val="center" w:pos="4818" w:leader="none"/>
        <w:tab w:val="right" w:pos="9637" w:leader="none"/>
      </w:tabs>
    </w:pPr>
  </w:style>
  <w:style w:type="paragraph" w:styleId="246">
    <w:name w:val="Footer"/>
    <w:basedOn w:val="172"/>
    <w:pPr>
      <w:tabs>
        <w:tab w:val="center" w:pos="4818" w:leader="none"/>
        <w:tab w:val="right" w:pos="9637" w:leader="none"/>
      </w:tabs>
    </w:pPr>
  </w:style>
  <w:style w:type="paragraph" w:styleId="247">
    <w:name w:val="footnote text"/>
    <w:basedOn w:val="172"/>
    <w:rPr>
      <w:sz w:val="20"/>
      <w:szCs w:val="20"/>
    </w:rPr>
    <w:pPr>
      <w:ind w:left="283" w:hanging="282"/>
    </w:pPr>
  </w:style>
  <w:style w:type="paragraph" w:styleId="248">
    <w:name w:val="Recuo da Lista"/>
    <w:basedOn w:val="240"/>
    <w:pPr>
      <w:ind w:left="2835" w:hanging="2550"/>
      <w:tabs>
        <w:tab w:val="left" w:pos="14175" w:leader="none"/>
      </w:tabs>
    </w:pPr>
  </w:style>
  <w:style w:type="paragraph" w:styleId="249">
    <w:name w:val="Recuo deslocado"/>
    <w:basedOn w:val="240"/>
    <w:pPr>
      <w:ind w:left="567" w:hanging="282"/>
      <w:tabs>
        <w:tab w:val="left" w:pos="2835" w:leader="none"/>
      </w:tabs>
    </w:pPr>
  </w:style>
  <w:style w:type="paragraph" w:styleId="250">
    <w:name w:val="Body Text Indent"/>
    <w:basedOn w:val="240"/>
    <w:pPr>
      <w:ind w:left="283"/>
    </w:pPr>
  </w:style>
  <w:style w:type="paragraph" w:styleId="251">
    <w:name w:val="Saudações finais"/>
    <w:basedOn w:val="172"/>
  </w:style>
  <w:style w:type="paragraph" w:styleId="252">
    <w:name w:val="Conteúdo da tabela"/>
    <w:basedOn w:val="172"/>
  </w:style>
  <w:style w:type="paragraph" w:styleId="253">
    <w:name w:val="Título da tabela"/>
    <w:basedOn w:val="252"/>
    <w:rPr>
      <w:b/>
      <w:bCs/>
    </w:rPr>
    <w:pPr>
      <w:jc w:val="center"/>
    </w:pPr>
  </w:style>
  <w:style w:type="paragraph" w:styleId="254">
    <w:name w:val="Listar Conteúdo"/>
    <w:basedOn w:val="172"/>
    <w:pPr>
      <w:ind w:left="567"/>
    </w:pPr>
  </w:style>
  <w:style w:type="paragraph" w:styleId="255">
    <w:name w:val="titulo"/>
    <w:basedOn w:val="172"/>
    <w:rPr>
      <w:rFonts w:ascii="Verdana" w:hAnsi="Verdana"/>
      <w:b/>
      <w:bCs/>
      <w:color w:val="000080"/>
    </w:rPr>
    <w:pPr>
      <w:jc w:val="center"/>
    </w:pPr>
  </w:style>
  <w:style w:type="paragraph" w:styleId="256">
    <w:name w:val="corpo"/>
    <w:basedOn w:val="172"/>
    <w:rPr>
      <w:rFonts w:ascii="Verdana" w:hAnsi="Verdana"/>
      <w:color w:val="000000"/>
      <w:sz w:val="20"/>
      <w:szCs w:val="20"/>
    </w:rPr>
  </w:style>
  <w:style w:type="paragraph" w:styleId="257">
    <w:name w:val="dia"/>
    <w:basedOn w:val="172"/>
    <w:rPr>
      <w:rFonts w:ascii="Verdana" w:hAnsi="Verdana"/>
      <w:sz w:val="20"/>
    </w:rPr>
    <w:pPr>
      <w:jc w:val="both"/>
    </w:pPr>
  </w:style>
  <w:style w:type="paragraph" w:styleId="258">
    <w:name w:val="tabela"/>
    <w:basedOn w:val="172"/>
    <w:rPr>
      <w:rFonts w:ascii="Verdana" w:hAnsi="Verdana"/>
      <w:sz w:val="20"/>
    </w:rPr>
    <w:pPr>
      <w:jc w:val="center"/>
    </w:pPr>
  </w:style>
  <w:style w:type="paragraph" w:styleId="259">
    <w:name w:val="relação"/>
    <w:basedOn w:val="172"/>
    <w:rPr>
      <w:rFonts w:ascii="Verdana" w:hAnsi="Verdana"/>
      <w:color w:val="000000"/>
      <w:sz w:val="20"/>
    </w:rPr>
    <w:pPr>
      <w:tabs>
        <w:tab w:val="left" w:pos="720" w:leader="none"/>
      </w:tabs>
    </w:pPr>
  </w:style>
  <w:style w:type="paragraph" w:styleId="260">
    <w:name w:val="final"/>
    <w:basedOn w:val="172"/>
    <w:rPr>
      <w:rFonts w:ascii="Verdana" w:hAnsi="Verdana"/>
      <w:i/>
      <w:iCs/>
      <w:color w:val="FF0000"/>
      <w:sz w:val="20"/>
      <w:szCs w:val="20"/>
    </w:rPr>
    <w:pPr>
      <w:jc w:val="center"/>
    </w:pPr>
  </w:style>
  <w:style w:type="paragraph" w:styleId="261">
    <w:name w:val="tabela cb"/>
    <w:basedOn w:val="258"/>
    <w:rPr>
      <w:b/>
      <w:color w:val="FFFFFF"/>
    </w:rPr>
    <w:pPr>
      <w:shd w:val="clear" w:color="auto" w:fill="666699"/>
    </w:pPr>
  </w:style>
  <w:style w:type="paragraph" w:styleId="262">
    <w:name w:val="Conteúdo de tabela"/>
    <w:basedOn w:val="172"/>
  </w:style>
  <w:style w:type="paragraph" w:styleId="263">
    <w:name w:val="Título de tabela"/>
    <w:basedOn w:val="262"/>
    <w:rPr>
      <w:b/>
      <w:bCs/>
    </w:rPr>
    <w:pPr>
      <w:jc w:val="center"/>
    </w:pPr>
  </w:style>
  <w:style w:type="paragraph" w:styleId="264">
    <w:name w:val="Balloon Text"/>
    <w:basedOn w:val="172"/>
    <w:uiPriority w:val="99"/>
    <w:semiHidden/>
    <w:unhideWhenUsed/>
    <w:rPr>
      <w:rFonts w:ascii="Tahoma" w:hAnsi="Tahoma" w:cs="Tahoma"/>
      <w:sz w:val="16"/>
      <w:szCs w:val="16"/>
    </w:rPr>
  </w:style>
  <w:style w:type="character" w:styleId="265">
    <w:name w:val="Balloon Text Char"/>
    <w:basedOn w:val="182"/>
    <w:uiPriority w:val="99"/>
    <w:semiHidden/>
    <w:rPr>
      <w:rFonts w:ascii="Tahoma" w:hAnsi="Tahoma" w:cs="Tahoma" w:eastAsia="Arial Unicode MS"/>
      <w:sz w:val="16"/>
      <w:szCs w:val="16"/>
    </w:rPr>
  </w:style>
  <w:style w:type="character" w:styleId="266">
    <w:name w:val="Header Char"/>
    <w:basedOn w:val="182"/>
    <w:uiPriority w:val="99"/>
    <w:rPr>
      <w:rFonts w:eastAsia="Arial Unicode MS"/>
      <w:sz w:val="24"/>
      <w:szCs w:val="24"/>
    </w:rPr>
  </w:style>
  <w:style w:type="table" w:styleId="267">
    <w:name w:val="Table Grid"/>
    <w:basedOn w:val="183"/>
    <w:uiPriority w:val="59"/>
    <w:rPr>
      <w:rFonts w:ascii="Calibri" w:hAnsi="Calibri" w:cs="Calibri" w:eastAsia="Calibri"/>
      <w:sz w:val="22"/>
      <w:szCs w:val="22"/>
      <w:lang w:eastAsia="en-US"/>
    </w:rPr>
    <w:tblPr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V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268">
    <w:name w:val="List Paragraph"/>
    <w:basedOn w:val="172"/>
    <w:qFormat/>
    <w:uiPriority w:val="34"/>
    <w:pPr>
      <w:contextualSpacing w:val="true"/>
      <w:ind w:left="720"/>
    </w:pPr>
  </w:style>
  <w:style w:type="paragraph" w:styleId="269">
    <w:name w:val="Default"/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2.jp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Escritório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