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Portugal 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noBreakHyphen/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 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2019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ab/>
      </w:r>
      <w:r/>
    </w:p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r>
      <w:r/>
    </w:p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Ilha de São Miguel, 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Açores </w:t>
        <w:noBreakHyphen/>
        <w:t xml:space="preserve"> 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Funchal, 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Ilha da Madeira - Lisboa</w:t>
      </w:r>
      <w:r/>
    </w:p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r>
      <w:r/>
    </w:p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 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12</w:t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 dias</w:t>
      </w:r>
      <w:r/>
    </w:p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r>
      <w:r/>
    </w:p>
    <w:p>
      <w:pPr>
        <w:jc w:val="center"/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</w:pPr>
      <w:r>
        <w:rPr>
          <w:lang w:eastAsia="pt-BR"/>
        </w:rPr>
        <w:drawing>
          <wp:inline xmlns:wp="http://schemas.openxmlformats.org/drawingml/2006/wordprocessingDrawing" distT="0" distB="0" distL="0" distR="0">
            <wp:extent cx="6119494" cy="3516152"/>
            <wp:effectExtent l="19049" t="0" r="0" b="0"/>
            <wp:docPr id="2" name="Picture 16" descr="Resultado de imagem para são miguel açores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Resultado de imagem para são miguel açores" hidden="0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119495" cy="351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 w:eastAsia="DejaVu Sans"/>
          <w:b/>
          <w:bCs/>
          <w:color w:val="000080"/>
          <w:sz w:val="22"/>
          <w:szCs w:val="22"/>
          <w:lang w:bidi="pt-BR" w:eastAsia="pt-BR"/>
        </w:rPr>
        <w:t xml:space="preserve"> </w:t>
      </w:r>
      <w:r/>
    </w:p>
    <w:p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Tahoma" w:eastAsia="DejaVu Sans"/>
          <w:b/>
          <w:bCs/>
          <w:sz w:val="20"/>
          <w:szCs w:val="20"/>
          <w:lang w:bidi="pt-BR" w:eastAsia="pt-BR"/>
        </w:rPr>
        <w:t xml:space="preserve">1º dia </w:t>
      </w:r>
      <w:r>
        <w:rPr>
          <w:rFonts w:ascii="Verdana" w:hAnsi="Verdana" w:cs="Tahoma" w:eastAsia="DejaVu Sans"/>
          <w:b/>
          <w:bCs/>
          <w:sz w:val="20"/>
          <w:szCs w:val="20"/>
          <w:lang w:bidi="pt-BR" w:eastAsia="pt-BR"/>
        </w:rPr>
        <w:noBreakHyphen/>
      </w:r>
      <w:r>
        <w:rPr>
          <w:rFonts w:ascii="Verdana" w:hAnsi="Verdana" w:cs="Tahoma" w:eastAsia="DejaVu Sans"/>
          <w:b/>
          <w:bCs/>
          <w:sz w:val="20"/>
          <w:szCs w:val="20"/>
          <w:lang w:bidi="pt-BR" w:eastAsia="pt-BR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Ilha de São Miguel, Açores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Chegada no aeroporto </w:t>
      </w:r>
      <w:r>
        <w:rPr>
          <w:rFonts w:ascii="Verdana" w:hAnsi="Verdana"/>
          <w:sz w:val="20"/>
          <w:szCs w:val="20"/>
        </w:rPr>
        <w:t xml:space="preserve">da Ilha de São Miguel, Açores. Recepção e traslado ao hotel. Hospedagem </w:t>
      </w:r>
      <w:r>
        <w:rPr>
          <w:rFonts w:ascii="Verdana" w:hAnsi="Verdana"/>
          <w:sz w:val="20"/>
          <w:szCs w:val="20"/>
        </w:rPr>
        <w:t xml:space="preserve">por </w:t>
      </w:r>
      <w:r>
        <w:rPr>
          <w:rFonts w:ascii="Verdana" w:hAnsi="Verdana"/>
          <w:sz w:val="20"/>
          <w:szCs w:val="20"/>
        </w:rPr>
        <w:t xml:space="preserve">3</w:t>
      </w:r>
      <w:r>
        <w:rPr>
          <w:rFonts w:ascii="Verdana" w:hAnsi="Verdana"/>
          <w:sz w:val="20"/>
          <w:szCs w:val="20"/>
        </w:rPr>
        <w:t xml:space="preserve"> noites, com café da manhã. 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2º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Ilha de São Miguel, Açores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Café da manhã no hotel e </w:t>
      </w:r>
      <w:r>
        <w:rPr>
          <w:rFonts w:ascii="Verdana" w:hAnsi="Verdana"/>
          <w:sz w:val="20"/>
          <w:szCs w:val="20"/>
        </w:rPr>
        <w:t xml:space="preserve">saida em passeio </w:t>
      </w:r>
      <w:r>
        <w:rPr>
          <w:rFonts w:ascii="Verdana" w:hAnsi="Verdana"/>
          <w:sz w:val="20"/>
          <w:szCs w:val="20"/>
        </w:rPr>
        <w:t xml:space="preserve">de dia inteiro à</w:t>
      </w:r>
      <w:r>
        <w:rPr>
          <w:rFonts w:ascii="Verdana" w:hAnsi="Verdana"/>
          <w:sz w:val="20"/>
          <w:szCs w:val="20"/>
        </w:rPr>
        <w:t xml:space="preserve"> Lagoa de Fogo e Furnas</w:t>
      </w:r>
      <w:r>
        <w:rPr>
          <w:rFonts w:ascii="Verdana" w:hAnsi="Verdana"/>
          <w:sz w:val="20"/>
          <w:szCs w:val="20"/>
        </w:rPr>
        <w:t xml:space="preserve">, conhecendo o Centro histórico da Ribeira Grande e o Parque Natural da Caldeira Velha.</w:t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3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Ilha de São Miguel, Açores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Café da manhã no hotel</w:t>
      </w:r>
      <w:r>
        <w:rPr>
          <w:rFonts w:ascii="Verdana" w:hAnsi="Verdana"/>
          <w:sz w:val="20"/>
          <w:szCs w:val="20"/>
        </w:rPr>
        <w:t xml:space="preserve"> e saida para passeio na região de Sete Cidades, região de paisagens deslumbrantes.</w:t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4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Ilha de São Miguel, Açores </w:t>
        <w:noBreakHyphen/>
        <w:t xml:space="preserve"> Funchal, Ilha da Madeira</w:t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Café da manhã </w:t>
      </w:r>
      <w:r>
        <w:rPr>
          <w:rFonts w:ascii="Verdana" w:hAnsi="Verdana"/>
          <w:sz w:val="20"/>
          <w:szCs w:val="20"/>
        </w:rPr>
        <w:t xml:space="preserve">no hotel. Traslado ao aeroporto para embarque com destino a Funchal, Ilha da Madeira. Recepção e traslado ao hotel. Hospedagem por 3 noites, com café da manhã.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lang w:eastAsia="pt-BR"/>
        </w:rPr>
        <w:drawing>
          <wp:inline xmlns:wp="http://schemas.openxmlformats.org/drawingml/2006/wordprocessingDrawing" distT="0" distB="0" distL="0" distR="0">
            <wp:extent cx="6119494" cy="2936450"/>
            <wp:effectExtent l="19049" t="0" r="0" b="0"/>
            <wp:docPr id="3" name="Picture 19" descr="Resultado de imagem para funchal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Resultado de imagem para funchal" hidden="0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119495" cy="293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5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Funchal, Ilha da Madeira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Café da manhã </w:t>
      </w:r>
      <w:r>
        <w:rPr>
          <w:rFonts w:ascii="Verdana" w:hAnsi="Verdana"/>
          <w:sz w:val="20"/>
          <w:szCs w:val="20"/>
        </w:rPr>
        <w:t xml:space="preserve">no hotel e saida para pa</w:t>
      </w:r>
      <w:r>
        <w:rPr>
          <w:rFonts w:ascii="Verdana" w:hAnsi="Verdana"/>
          <w:sz w:val="20"/>
          <w:szCs w:val="20"/>
        </w:rPr>
        <w:t xml:space="preserve">sseio de meio dia, conhecendo Monte, vilarejo conhecido pelos seus belos jarding e a Igreja de Nossa Senhora do Monte. No Monte, sugerimos descida nos carros de cesto, típicos da região. Em seguida, continuação para o Jardim Botânico, verdadeiro museu natural com suas mais de 2000 espécies de plantas oriundas de todos os continentes. Tarde livre. 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6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Funchal, Ilha da Madeira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Após o café da manhã,</w:t>
      </w:r>
      <w:r>
        <w:rPr>
          <w:rFonts w:ascii="Verdana" w:hAnsi="Verdana"/>
          <w:sz w:val="20"/>
          <w:szCs w:val="20"/>
        </w:rPr>
        <w:t xml:space="preserve"> sugerimos passeio privativo de meio dia conhecendo Curral das Freiras, região de magníficas paisagens</w:t>
      </w:r>
      <w:r>
        <w:rPr>
          <w:rFonts w:ascii="Verdana" w:hAnsi="Verdana"/>
          <w:sz w:val="20"/>
          <w:szCs w:val="20"/>
        </w:rPr>
        <w:t xml:space="preserve">. No Pico de Barcelos pode-se observar a charmosa cidade de Funchal.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jc w:val="both"/>
        <w:rPr>
          <w:rFonts w:ascii="Verdana" w:hAnsi="Verdana"/>
          <w:sz w:val="20"/>
          <w:szCs w:val="20"/>
          <w:lang w:bidi="pt-BR" w:eastAsia="pt-BR"/>
        </w:rPr>
      </w:pPr>
      <w:r>
        <w:rPr>
          <w:rFonts w:ascii="Verdana" w:hAnsi="Verdana"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7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Funchal, Ilha da Madeira</w:t>
      </w:r>
      <w:r>
        <w:rPr>
          <w:rFonts w:ascii="Verdana" w:hAnsi="Verdana"/>
          <w:b/>
          <w:sz w:val="20"/>
          <w:szCs w:val="20"/>
        </w:rPr>
        <w:t xml:space="preserve"> - Lisboa</w:t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Café da manhã </w:t>
      </w:r>
      <w:r>
        <w:rPr>
          <w:rFonts w:ascii="Verdana" w:hAnsi="Verdana"/>
          <w:sz w:val="20"/>
          <w:szCs w:val="20"/>
        </w:rPr>
        <w:t xml:space="preserve">no hotel e traslado ao aeroporto para embarque com destino a Lisboa. Recepção e traslado ao hotel. Hospedagem por 5 noites, com café da manhã.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8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 Lisboa</w:t>
      </w:r>
      <w:r/>
    </w:p>
    <w:p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Após o café da manhã,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passeio</w:t>
      </w:r>
      <w:r>
        <w:rPr>
          <w:rFonts w:ascii="Verdana" w:hAnsi="Verdana"/>
          <w:color w:val="000000"/>
          <w:sz w:val="20"/>
          <w:szCs w:val="20"/>
        </w:rPr>
        <w:t xml:space="preserve"> de meio dia p</w:t>
      </w:r>
      <w:r>
        <w:rPr>
          <w:rFonts w:ascii="Verdana" w:hAnsi="Verdana"/>
          <w:color w:val="000000"/>
          <w:sz w:val="20"/>
          <w:szCs w:val="20"/>
        </w:rPr>
        <w:t xml:space="preserve">ela cidade, para conhecer um pouco de sua riqueza histórica e cultural. Os famosos bairros Chiado, Alfama o mais antigo </w:t>
      </w:r>
      <w:r>
        <w:rPr>
          <w:rFonts w:ascii="Verdana" w:hAnsi="Verdana"/>
          <w:color w:val="000000"/>
          <w:sz w:val="20"/>
          <w:szCs w:val="20"/>
        </w:rPr>
        <w:t xml:space="preserve">da cidade, de aspecto medieval, </w:t>
      </w:r>
      <w:r>
        <w:rPr>
          <w:rFonts w:ascii="Verdana" w:hAnsi="Verdana"/>
          <w:color w:val="000000"/>
          <w:sz w:val="20"/>
          <w:szCs w:val="20"/>
        </w:rPr>
        <w:t xml:space="preserve">o charmoso Bairro Alto. Debruçados sobre o Tejo encontram-se 2 monumentos referentes aos descobrimentos portugueses: o Mosteiro dos Jerónimos e a Torre de Belém, onde pode-se saborear o delicioso pastel de nata. 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 </w:t>
      </w:r>
      <w:r>
        <w:rPr>
          <w:rFonts w:ascii="Verdana" w:hAnsi="Verdana"/>
          <w:sz w:val="20"/>
          <w:szCs w:val="20"/>
          <w:lang w:bidi="pt-BR" w:eastAsia="pt-BR"/>
        </w:rPr>
        <w:t xml:space="preserve">Tarde livre.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eastAsia="pt-BR"/>
        </w:rPr>
        <w:drawing>
          <wp:inline xmlns:wp="http://schemas.openxmlformats.org/drawingml/2006/wordprocessingDrawing" distT="0" distB="0" distL="0" distR="0">
            <wp:extent cx="5875866" cy="3733799"/>
            <wp:effectExtent l="0" t="0" r="0" b="0"/>
            <wp:docPr id="4" name="Imagem 1" descr="http://eventos.fct.unl.pt/sites/default/files/enterface13/files/tram.jpg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eventos.fct.unl.pt/sites/default/files/enterface13/files/tram.jpg" hidden="0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87586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9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Lisboa</w:t>
      </w:r>
      <w:r>
        <w:rPr>
          <w:rFonts w:ascii="Verdana" w:hAnsi="Verdana"/>
          <w:b/>
          <w:sz w:val="20"/>
          <w:szCs w:val="20"/>
        </w:rPr>
        <w:t xml:space="preserve"> </w:t>
      </w:r>
      <w:r/>
    </w:p>
    <w:p>
      <w:pPr>
        <w:jc w:val="both"/>
      </w:pPr>
      <w:r>
        <w:rPr>
          <w:rFonts w:ascii="Verdana" w:hAnsi="Verdana"/>
          <w:sz w:val="20"/>
          <w:szCs w:val="20"/>
        </w:rPr>
        <w:t xml:space="preserve">Café da manhã no hotel</w:t>
      </w:r>
      <w:r>
        <w:rPr>
          <w:rFonts w:ascii="Verdana" w:hAnsi="Verdana"/>
          <w:sz w:val="20"/>
          <w:szCs w:val="20"/>
        </w:rPr>
        <w:t xml:space="preserve">. Dia livre.</w:t>
      </w:r>
      <w:r>
        <w:rPr>
          <w:rFonts w:ascii="Verdana" w:hAnsi="Verdana"/>
          <w:sz w:val="20"/>
          <w:szCs w:val="20"/>
        </w:rPr>
        <w:t xml:space="preserve"> Sugerimos passei à região de Sintra </w:t>
      </w:r>
      <w:r>
        <w:rPr>
          <w:rFonts w:ascii="Verdana" w:hAnsi="Verdana"/>
          <w:color w:val="000000"/>
          <w:sz w:val="20"/>
          <w:szCs w:val="20"/>
        </w:rPr>
        <w:t xml:space="preserve">onde a Paisagem Cultural de Sintra é considerada Patrimônio da Humanidade pela UNESCO.</w:t>
      </w:r>
      <w:r/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10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Lisboa</w:t>
      </w:r>
      <w:r>
        <w:rPr>
          <w:rFonts w:ascii="Verdana" w:hAnsi="Verdana"/>
          <w:b/>
          <w:sz w:val="20"/>
          <w:szCs w:val="20"/>
        </w:rPr>
        <w:t xml:space="preserve"> 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sz w:val="20"/>
          <w:szCs w:val="20"/>
        </w:rPr>
        <w:t xml:space="preserve">Café da manhã no hotel</w:t>
      </w:r>
      <w:r>
        <w:rPr>
          <w:rFonts w:ascii="Verdana" w:hAnsi="Verdana"/>
          <w:sz w:val="20"/>
          <w:szCs w:val="20"/>
        </w:rPr>
        <w:t xml:space="preserve">. Dia livre. Sugerimos passeio para a região de Évora.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11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Lisboa</w:t>
      </w:r>
      <w:r>
        <w:rPr>
          <w:rFonts w:ascii="Verdana" w:hAnsi="Verdana"/>
          <w:b/>
          <w:sz w:val="20"/>
          <w:szCs w:val="20"/>
        </w:rPr>
        <w:t xml:space="preserve"> 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sz w:val="20"/>
          <w:szCs w:val="20"/>
        </w:rPr>
        <w:t xml:space="preserve">Café da manhã no hotel</w:t>
      </w:r>
      <w:r>
        <w:rPr>
          <w:rFonts w:ascii="Verdana" w:hAnsi="Verdana"/>
          <w:sz w:val="20"/>
          <w:szCs w:val="20"/>
        </w:rPr>
        <w:t xml:space="preserve">. Dia livre. Sugerimos passeio de dia inteiro para Fátima, Óbidos, Alcobaça, Nazaré e Batalha.</w:t>
      </w:r>
      <w:r/>
    </w:p>
    <w:p>
      <w:pPr>
        <w:jc w:val="both"/>
        <w:rPr>
          <w:rFonts w:ascii="Verdana" w:hAnsi="Verdana"/>
          <w:b/>
          <w:sz w:val="20"/>
          <w:szCs w:val="20"/>
          <w:lang w:bidi="pt-BR" w:eastAsia="pt-BR"/>
        </w:rPr>
      </w:pPr>
      <w:r>
        <w:rPr>
          <w:rFonts w:ascii="Verdana" w:hAnsi="Verdana"/>
          <w:b/>
          <w:sz w:val="20"/>
          <w:szCs w:val="20"/>
          <w:lang w:bidi="pt-BR" w:eastAsia="pt-BR"/>
        </w:rPr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bidi="pt-BR" w:eastAsia="pt-BR"/>
        </w:rPr>
        <w:t xml:space="preserve">12</w:t>
      </w:r>
      <w:r>
        <w:rPr>
          <w:rFonts w:ascii="Verdana" w:hAnsi="Verdana"/>
          <w:b/>
          <w:sz w:val="20"/>
          <w:szCs w:val="20"/>
          <w:lang w:bidi="pt-BR" w:eastAsia="pt-BR"/>
        </w:rPr>
        <w:t xml:space="preserve">º dia </w:t>
      </w:r>
      <w:r>
        <w:rPr>
          <w:rFonts w:ascii="Verdana" w:hAnsi="Verdana"/>
          <w:b/>
          <w:sz w:val="20"/>
          <w:szCs w:val="20"/>
          <w:lang w:bidi="pt-BR" w:eastAsia="pt-BR"/>
        </w:rPr>
        <w:noBreakHyphen/>
      </w:r>
      <w:r>
        <w:rPr>
          <w:rFonts w:ascii="Verdana" w:hAnsi="Verdana"/>
          <w:b/>
          <w:sz w:val="20"/>
          <w:szCs w:val="20"/>
        </w:rPr>
        <w:t xml:space="preserve">Lisboa</w:t>
      </w:r>
      <w:r>
        <w:rPr>
          <w:rFonts w:ascii="Verdana" w:hAnsi="Verdana"/>
          <w:b/>
          <w:sz w:val="20"/>
          <w:szCs w:val="20"/>
        </w:rPr>
        <w:t xml:space="preserve"> </w:t>
      </w:r>
      <w:r/>
    </w:p>
    <w:p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Café da manhã no hotel</w:t>
      </w:r>
      <w:r>
        <w:rPr>
          <w:rFonts w:ascii="Verdana" w:hAnsi="Verdana"/>
          <w:sz w:val="20"/>
          <w:szCs w:val="20"/>
        </w:rPr>
        <w:t xml:space="preserve">.  Em horário a ser determinado, traslado ao aeroporto para embarque. </w:t>
      </w:r>
      <w:r/>
    </w:p>
    <w:p>
      <w:pPr>
        <w:jc w:val="both"/>
        <w:rPr>
          <w:rFonts w:ascii="Verdana" w:hAnsi="Verdana" w:cs="Tahoma" w:eastAsia="DejaVu Sans"/>
          <w:b/>
          <w:bCs/>
          <w:sz w:val="20"/>
          <w:szCs w:val="20"/>
          <w:lang w:bidi="pt-BR"/>
        </w:rPr>
      </w:pPr>
      <w:r>
        <w:rPr>
          <w:rFonts w:ascii="Verdana" w:hAnsi="Verdana" w:cs="Tahoma" w:eastAsia="DejaVu Sans"/>
          <w:b/>
          <w:bCs/>
          <w:sz w:val="20"/>
          <w:szCs w:val="20"/>
          <w:lang w:bidi="pt-BR"/>
        </w:rPr>
      </w:r>
      <w:r/>
    </w:p>
    <w:p>
      <w:pPr>
        <w:jc w:val="both"/>
        <w:rPr>
          <w:rFonts w:ascii="Verdana" w:hAnsi="Verdana" w:cs="Tahoma" w:eastAsia="DejaVu Sans"/>
          <w:sz w:val="20"/>
          <w:szCs w:val="20"/>
          <w:lang w:bidi="pt-BR" w:eastAsia="pt-BR"/>
        </w:rPr>
      </w:pPr>
      <w:r>
        <w:rPr>
          <w:rFonts w:ascii="Verdana" w:hAnsi="Verdana" w:cs="Tahoma" w:eastAsia="DejaVu Sans"/>
          <w:sz w:val="20"/>
          <w:szCs w:val="20"/>
          <w:lang w:bidi="pt-BR" w:eastAsia="pt-BR"/>
        </w:rPr>
      </w:r>
      <w:r/>
    </w:p>
    <w:tbl>
      <w:tblPr>
        <w:tblW w:w="0" w:type="auto"/>
        <w:tblInd w:w="15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  <w:gridCol w:w="1985"/>
        <w:gridCol w:w="1417"/>
      </w:tblGrid>
      <w:tr>
        <w:trPr/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left="420"/>
              <w:jc w:val="both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CIDADE </w:t>
            </w:r>
            <w:r/>
          </w:p>
        </w:tc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left="420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      </w:t>
            </w: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  </w:t>
            </w: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CATEGORIA </w:t>
            </w:r>
            <w:r/>
          </w:p>
        </w:tc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left="420"/>
              <w:jc w:val="both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TIPO </w:t>
            </w: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APTO </w:t>
            </w:r>
            <w:r/>
          </w:p>
        </w:tc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420"/>
              <w:jc w:val="both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NOITES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São Miguel, Açores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  <w:t xml:space="preserve"> </w:t>
            </w:r>
            <w:r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  <w:t xml:space="preserve">Hotel </w:t>
            </w:r>
            <w:r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  <w:t xml:space="preserve">Azor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Luxo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Standard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Funchal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  <w:t xml:space="preserve">Reid’s Palace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Luxo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Classic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Lisboa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szCs w:val="20"/>
                <w:lang w:bidi="pt-BR" w:eastAsia="pt-BR"/>
              </w:rPr>
              <w:t xml:space="preserve">Tivoli Aveinda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Luxo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Deluxe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5</w:t>
            </w:r>
            <w:r/>
          </w:p>
        </w:tc>
      </w:tr>
    </w:tbl>
    <w:p>
      <w:pPr>
        <w:jc w:val="both"/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</w:r>
      <w:r/>
    </w:p>
    <w:p>
      <w:pPr>
        <w:pStyle w:val="261"/>
        <w:spacing w:lineRule="atLeast" w:line="210" w:before="0"/>
        <w:rPr>
          <w:szCs w:val="20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</w:r>
      <w:r/>
    </w:p>
    <w:p>
      <w:pPr>
        <w:pStyle w:val="261"/>
        <w:spacing w:lineRule="atLeast" w:line="210" w:before="0"/>
        <w:rPr>
          <w:szCs w:val="20"/>
        </w:rPr>
      </w:pPr>
      <w:r/>
      <w:r/>
    </w:p>
    <w:p>
      <w:pPr>
        <w:pStyle w:val="261"/>
        <w:spacing w:lineRule="atLeast" w:line="210" w:before="0"/>
        <w:rPr>
          <w:szCs w:val="20"/>
        </w:rPr>
      </w:pPr>
      <w:r/>
      <w:r/>
    </w:p>
    <w:p>
      <w:pPr>
        <w:pStyle w:val="261"/>
        <w:spacing w:lineRule="atLeast" w:line="210" w:before="0"/>
        <w:rPr>
          <w:szCs w:val="20"/>
        </w:rPr>
      </w:pPr>
      <w:r/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Preço do Roteiro Terrestre</w:t>
      </w: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,</w:t>
      </w: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 por pessoa</w:t>
      </w: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 base duplo</w:t>
      </w: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 em Euro</w:t>
      </w:r>
      <w:r/>
    </w:p>
    <w:tbl>
      <w:tblPr>
        <w:tblW w:w="0" w:type="auto"/>
        <w:tblInd w:w="31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2295"/>
        <w:gridCol w:w="4068"/>
      </w:tblGrid>
      <w:tr>
        <w:trPr/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95" w:type="dxa"/>
            <w:vAlign w:val="center"/>
            <w:textDirection w:val="lrTb"/>
            <w:noWrap w:val="false"/>
          </w:tcPr>
          <w:p>
            <w:pPr>
              <w:ind w:left="420"/>
              <w:jc w:val="both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 </w:t>
            </w:r>
            <w:r/>
          </w:p>
        </w:tc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4068" w:type="dxa"/>
            <w:vAlign w:val="center"/>
            <w:textDirection w:val="lrTb"/>
            <w:noWrap w:val="false"/>
          </w:tcPr>
          <w:p>
            <w:pPr>
              <w:ind w:left="420"/>
              <w:jc w:val="center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20"/>
                <w:szCs w:val="20"/>
                <w:lang w:bidi="pt-BR" w:eastAsia="pt-BR"/>
              </w:rPr>
              <w:t xml:space="preserve">DOUBLE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</w:pPr>
            <w:r>
              <w:rPr>
                <w:rFonts w:ascii="Verdana" w:hAnsi="Verdana" w:cs="Arial" w:eastAsia="DejaVu Sans"/>
                <w:color w:val="000000"/>
                <w:sz w:val="20"/>
                <w:lang w:bidi="pt-BR" w:eastAsia="pt-BR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4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  <w:r>
              <w:rPr>
                <w:rFonts w:ascii="Verdana" w:hAnsi="Verdana" w:cs="Tahoma"/>
                <w:color w:val="000000"/>
                <w:sz w:val="20"/>
              </w:rPr>
              <w:t xml:space="preserve">Є </w:t>
            </w:r>
            <w:r>
              <w:rPr>
                <w:rFonts w:ascii="Verdana" w:hAnsi="Verdana" w:cs="Tahoma"/>
                <w:color w:val="000000"/>
                <w:sz w:val="20"/>
              </w:rPr>
              <w:t xml:space="preserve">2.</w:t>
            </w:r>
            <w:r>
              <w:rPr>
                <w:rFonts w:ascii="Verdana" w:hAnsi="Verdana" w:cs="Tahoma"/>
                <w:color w:val="000000"/>
                <w:sz w:val="20"/>
              </w:rPr>
              <w:t xml:space="preserve">525</w:t>
            </w:r>
            <w:r/>
          </w:p>
        </w:tc>
      </w:tr>
    </w:tbl>
    <w:p>
      <w:pPr>
        <w:jc w:val="both"/>
        <w:tabs>
          <w:tab w:val="left" w:pos="360" w:leader="none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</w:r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 </w:t>
      </w:r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</w:r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  <w:t xml:space="preserve"> </w:t>
      </w:r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</w:r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</w:r>
      <w:r/>
    </w:p>
    <w:p>
      <w:pPr>
        <w:jc w:val="both"/>
        <w:tabs>
          <w:tab w:val="left" w:pos="360" w:leader="none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</w:r>
      <w:r/>
    </w:p>
    <w:tbl>
      <w:tblPr>
        <w:tblW w:w="9639" w:type="dxa"/>
        <w:tblInd w:w="113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761"/>
        </w:trPr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3" w:type="dxa"/>
              <w:top w:w="0" w:type="auto"/>
              <w:right w:w="113" w:type="dxa"/>
              <w:bottom w:w="0" w:type="auto"/>
            </w:tcMar>
            <w:tcW w:w="9639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420" w:leader="none"/>
              </w:tabs>
              <w:rPr>
                <w:rFonts w:ascii="Verdana" w:hAnsi="Verdana" w:cs="Tahoma" w:eastAsia="DejaVu Sans"/>
                <w:b/>
                <w:color w:val="FFFFFF"/>
                <w:sz w:val="16"/>
                <w:szCs w:val="16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16"/>
                <w:szCs w:val="16"/>
                <w:lang w:bidi="pt-BR" w:eastAsia="pt-BR"/>
              </w:rPr>
              <w:t xml:space="preserve">Valores apenas informativos e sujeitos a alteração e reajustes cambiais.</w:t>
            </w:r>
            <w:r>
              <w:rPr>
                <w:rFonts w:ascii="Verdana" w:hAnsi="Verdana" w:cs="Tahoma" w:eastAsia="DejaVu Sans"/>
                <w:b/>
                <w:color w:val="FFFFFF"/>
                <w:sz w:val="16"/>
                <w:szCs w:val="16"/>
                <w:lang w:bidi="pt-BR" w:eastAsia="pt-BR"/>
              </w:rPr>
              <w:t xml:space="preserve"> Preços finais somente serão confirmados na efetivação da reserva. Não são válidos para períodos de feiras, feriados, Natal e Reveillon.</w:t>
            </w:r>
            <w:r/>
          </w:p>
        </w:tc>
      </w:tr>
    </w:tbl>
    <w:p>
      <w:pPr>
        <w:jc w:val="both"/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</w:rPr>
      </w:r>
      <w:r/>
    </w:p>
    <w:p>
      <w:pPr>
        <w:jc w:val="both"/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</w:rPr>
      </w:r>
      <w:r/>
    </w:p>
    <w:p>
      <w:pPr>
        <w:jc w:val="both"/>
        <w:rPr>
          <w:rFonts w:ascii="Verdana" w:hAnsi="Verdana" w:cs="Arial" w:eastAsia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 w:eastAsia="Times New Roman"/>
          <w:b/>
          <w:color w:val="000000"/>
          <w:sz w:val="20"/>
          <w:szCs w:val="20"/>
          <w:shd w:val="clear" w:color="auto" w:fill="FFFFFF"/>
        </w:rPr>
        <w:t xml:space="preserve">Observação:</w:t>
      </w:r>
      <w:r/>
    </w:p>
    <w:p>
      <w:pPr>
        <w:jc w:val="both"/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</w:rPr>
      </w:pP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</w:rPr>
        <w:t xml:space="preserve">Os hotéis mencionados acima incluem taxas locais.</w:t>
      </w:r>
      <w:r/>
    </w:p>
    <w:p>
      <w:pPr>
        <w:jc w:val="both"/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</w:rPr>
      </w:pP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</w:rPr>
        <w:t xml:space="preserve">O critério internacional de horários de entrada e s</w:t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</w:rPr>
        <w:t xml:space="preserve">aída dos hotéis, normalmente é:</w:t>
      </w:r>
      <w:r/>
    </w:p>
    <w:p>
      <w:pPr>
        <w:jc w:val="both"/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232"/>
          <w:rFonts w:ascii="Verdana" w:hAnsi="Verdana" w:cs="Arial" w:eastAsia="Times New Roman"/>
          <w:bCs w:val="false"/>
          <w:iCs/>
          <w:color w:val="000000"/>
          <w:sz w:val="20"/>
          <w:szCs w:val="20"/>
          <w:shd w:val="clear" w:color="auto" w:fill="FFFFFF"/>
          <w:lang w:val="en-US"/>
        </w:rPr>
        <w:t xml:space="preserve">Check</w:t>
      </w:r>
      <w:r>
        <w:rPr>
          <w:rStyle w:val="232"/>
          <w:rFonts w:ascii="Verdana" w:hAnsi="Verdana" w:cs="Arial" w:eastAsia="Times New Roman"/>
          <w:bCs w:val="false"/>
          <w:iCs/>
          <w:color w:val="000000"/>
          <w:sz w:val="20"/>
          <w:szCs w:val="20"/>
          <w:shd w:val="clear" w:color="auto" w:fill="FFFFFF"/>
          <w:lang w:val="en-US"/>
        </w:rPr>
        <w:t xml:space="preserve">-</w:t>
      </w:r>
      <w:r>
        <w:rPr>
          <w:rStyle w:val="232"/>
          <w:rFonts w:ascii="Verdana" w:hAnsi="Verdana" w:cs="Arial" w:eastAsia="Times New Roman"/>
          <w:bCs w:val="false"/>
          <w:iCs/>
          <w:color w:val="000000"/>
          <w:sz w:val="20"/>
          <w:szCs w:val="20"/>
          <w:shd w:val="clear" w:color="auto" w:fill="FFFFFF"/>
          <w:lang w:val="en-US"/>
        </w:rPr>
        <w:t xml:space="preserve">in</w:t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  <w:t xml:space="preserve">: 15h00</w:t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232"/>
          <w:rFonts w:ascii="Verdana" w:hAnsi="Verdana" w:cs="Arial" w:eastAsia="Times New Roman"/>
          <w:bCs w:val="false"/>
          <w:iCs/>
          <w:color w:val="000000"/>
          <w:sz w:val="20"/>
          <w:szCs w:val="20"/>
          <w:shd w:val="clear" w:color="auto" w:fill="FFFFFF"/>
          <w:lang w:val="en-US"/>
        </w:rPr>
        <w:t xml:space="preserve">Check</w:t>
      </w:r>
      <w:r>
        <w:rPr>
          <w:rStyle w:val="232"/>
          <w:rFonts w:ascii="Verdana" w:hAnsi="Verdana" w:cs="Arial" w:eastAsia="Times New Roman"/>
          <w:bCs w:val="false"/>
          <w:iCs/>
          <w:color w:val="000000"/>
          <w:sz w:val="20"/>
          <w:szCs w:val="20"/>
          <w:shd w:val="clear" w:color="auto" w:fill="FFFFFF"/>
          <w:lang w:val="en-US"/>
        </w:rPr>
        <w:t xml:space="preserve">-</w:t>
      </w:r>
      <w:r>
        <w:rPr>
          <w:rStyle w:val="232"/>
          <w:rFonts w:ascii="Verdana" w:hAnsi="Verdana" w:cs="Arial" w:eastAsia="Times New Roman"/>
          <w:bCs w:val="false"/>
          <w:iCs/>
          <w:color w:val="000000"/>
          <w:sz w:val="20"/>
          <w:szCs w:val="20"/>
          <w:shd w:val="clear" w:color="auto" w:fill="FFFFFF"/>
          <w:lang w:val="en-US"/>
        </w:rPr>
        <w:t xml:space="preserve">out</w:t>
      </w:r>
      <w:r>
        <w:rPr>
          <w:rStyle w:val="231"/>
          <w:rFonts w:ascii="Verdana" w:hAnsi="Verdana" w:cs="Arial" w:eastAsia="Times New Roman"/>
          <w:i w:val="false"/>
          <w:color w:val="000000"/>
          <w:sz w:val="20"/>
          <w:szCs w:val="20"/>
          <w:shd w:val="clear" w:color="auto" w:fill="FFFFFF"/>
          <w:lang w:val="en-US"/>
        </w:rPr>
        <w:t xml:space="preserve">: 12h00</w:t>
      </w:r>
      <w:r/>
    </w:p>
    <w:p>
      <w:pPr>
        <w:jc w:val="both"/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  <w:lang w:val="en-US"/>
        </w:rPr>
      </w:r>
      <w:r/>
    </w:p>
    <w:p>
      <w:pPr>
        <w:jc w:val="both"/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 w:cs="Arial" w:eastAsia="Times New Roman"/>
          <w:color w:val="000000"/>
          <w:sz w:val="20"/>
          <w:szCs w:val="20"/>
          <w:shd w:val="clear" w:color="auto" w:fill="FFFFFF"/>
          <w:lang w:val="en-US"/>
        </w:rPr>
      </w:r>
      <w:r/>
    </w:p>
    <w:p>
      <w:pPr>
        <w:ind w:left="15"/>
        <w:jc w:val="both"/>
        <w:tabs>
          <w:tab w:val="left" w:pos="735" w:leader="none"/>
        </w:tabs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O roteiro inclui:</w:t>
      </w:r>
      <w:r/>
    </w:p>
    <w:p>
      <w:pPr>
        <w:numPr>
          <w:ilvl w:val="0"/>
          <w:numId w:val="3"/>
        </w:numPr>
        <w:ind w:left="357" w:hanging="356"/>
        <w:jc w:val="both"/>
        <w:spacing w:lineRule="atLeast" w:line="210"/>
        <w:tabs>
          <w:tab w:val="left" w:pos="360" w:leader="none"/>
          <w:tab w:val="clear" w:pos="720" w:leader="none"/>
        </w:tabs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</w:pP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2</w:t>
      </w: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 noites de hospedagem em </w:t>
      </w: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São Miguel</w:t>
      </w:r>
      <w:r/>
    </w:p>
    <w:p>
      <w:pPr>
        <w:numPr>
          <w:ilvl w:val="0"/>
          <w:numId w:val="3"/>
        </w:numPr>
        <w:ind w:left="357" w:hanging="356"/>
        <w:jc w:val="both"/>
        <w:spacing w:lineRule="atLeast" w:line="210"/>
        <w:tabs>
          <w:tab w:val="left" w:pos="360" w:leader="none"/>
          <w:tab w:val="clear" w:pos="720" w:leader="none"/>
        </w:tabs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</w:pP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2 noites de hospedagem em </w:t>
      </w: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Funchal</w:t>
      </w:r>
      <w:r/>
    </w:p>
    <w:p>
      <w:pPr>
        <w:numPr>
          <w:ilvl w:val="0"/>
          <w:numId w:val="3"/>
        </w:numPr>
        <w:ind w:left="357" w:hanging="356"/>
        <w:jc w:val="both"/>
        <w:spacing w:lineRule="atLeast" w:line="210"/>
        <w:tabs>
          <w:tab w:val="left" w:pos="360" w:leader="none"/>
          <w:tab w:val="clear" w:pos="720" w:leader="none"/>
        </w:tabs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</w:pP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5</w:t>
      </w: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 noites de hospedagem em </w:t>
      </w: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Lisboa</w:t>
      </w:r>
      <w:r/>
    </w:p>
    <w:p>
      <w:pPr>
        <w:numPr>
          <w:ilvl w:val="0"/>
          <w:numId w:val="3"/>
        </w:numPr>
        <w:ind w:left="357" w:hanging="356"/>
        <w:jc w:val="both"/>
        <w:spacing w:lineRule="atLeast" w:line="210"/>
        <w:tabs>
          <w:tab w:val="left" w:pos="360" w:leader="none"/>
          <w:tab w:val="clear" w:pos="720" w:leader="none"/>
        </w:tabs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</w:pP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Café da manhã diário</w:t>
      </w:r>
      <w:r/>
    </w:p>
    <w:p>
      <w:pPr>
        <w:numPr>
          <w:ilvl w:val="0"/>
          <w:numId w:val="3"/>
        </w:numPr>
        <w:ind w:left="357" w:hanging="356"/>
        <w:jc w:val="both"/>
        <w:spacing w:lineRule="atLeast" w:line="210"/>
        <w:tabs>
          <w:tab w:val="left" w:pos="360" w:leader="none"/>
          <w:tab w:val="clear" w:pos="720" w:leader="none"/>
        </w:tabs>
        <w:rPr>
          <w:rFonts w:ascii="Verdana" w:hAnsi="Verdana" w:cs="Arial"/>
          <w:color w:val="000000"/>
          <w:sz w:val="20"/>
          <w:szCs w:val="20"/>
        </w:rPr>
      </w:pPr>
      <w:r>
        <w:rPr>
          <w:rStyle w:val="231"/>
          <w:rFonts w:ascii="Verdana" w:hAnsi="Verdana" w:cs="Arial"/>
          <w:i w:val="false"/>
          <w:iCs w:val="false"/>
          <w:color w:val="000000"/>
          <w:sz w:val="20"/>
          <w:szCs w:val="20"/>
        </w:rPr>
        <w:t xml:space="preserve">Passeios privativos conforme roteiro</w:t>
      </w:r>
      <w:r/>
    </w:p>
    <w:p>
      <w:pPr>
        <w:pStyle w:val="261"/>
        <w:spacing w:lineRule="atLeast" w:line="210" w:before="0"/>
        <w:rPr>
          <w:rFonts w:ascii="Verdana" w:hAnsi="Verdana" w:cs="Lucidasans"/>
          <w:sz w:val="20"/>
          <w:szCs w:val="20"/>
          <w:lang w:val="pt-BR" w:bidi="pt-BR" w:eastAsia="pt-BR"/>
        </w:rPr>
      </w:pPr>
      <w:r>
        <w:rPr>
          <w:rFonts w:ascii="Verdana" w:hAnsi="Verdana" w:cs="Lucidasans"/>
          <w:sz w:val="20"/>
          <w:szCs w:val="20"/>
          <w:lang w:val="pt-BR" w:bidi="pt-BR" w:eastAsia="pt-BR"/>
        </w:rPr>
      </w:r>
      <w:r/>
    </w:p>
    <w:p>
      <w:pPr>
        <w:jc w:val="both"/>
        <w:spacing w:lineRule="atLeast" w:line="210"/>
        <w:tabs>
          <w:tab w:val="left" w:pos="36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numPr>
          <w:ilvl w:val="0"/>
          <w:numId w:val="2"/>
        </w:numPr>
        <w:jc w:val="both"/>
        <w:tabs>
          <w:tab w:val="clear" w:pos="0" w:leader="none"/>
        </w:tabs>
        <w:rPr>
          <w:rFonts w:ascii="Verdana" w:hAnsi="Verdana" w:cs="Tahoma" w:eastAsia="DejaVu Sans"/>
          <w:b/>
          <w:bCs/>
          <w:sz w:val="20"/>
          <w:lang w:bidi="pt-BR" w:eastAsia="pt-BR"/>
        </w:rPr>
      </w:pPr>
      <w:r>
        <w:rPr>
          <w:rFonts w:ascii="Verdana" w:hAnsi="Verdana" w:cs="Tahoma" w:eastAsia="DejaVu Sans"/>
          <w:b/>
          <w:bCs/>
          <w:sz w:val="20"/>
          <w:lang w:bidi="pt-BR" w:eastAsia="pt-BR"/>
        </w:rPr>
        <w:t xml:space="preserve">O roteiro não inclui: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clear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Passagem aérea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clear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Despesas com documentos e vistos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clear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Despesas de caráter pessoal, gorjetas, telefonemas, etc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clear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Qualquer item que não esteja no programa</w:t>
      </w:r>
      <w:r/>
    </w:p>
    <w:p>
      <w:pPr>
        <w:jc w:val="both"/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</w:r>
      <w:r/>
    </w:p>
    <w:p>
      <w:pPr>
        <w:jc w:val="both"/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</w:r>
      <w:r/>
    </w:p>
    <w:p>
      <w:pPr>
        <w:jc w:val="both"/>
        <w:rPr>
          <w:rFonts w:ascii="Verdana" w:hAnsi="Verdana" w:cs="Tahoma" w:eastAsia="DejaVu Sans"/>
          <w:b/>
          <w:bCs/>
          <w:sz w:val="20"/>
          <w:lang w:bidi="pt-BR" w:eastAsia="pt-BR"/>
        </w:rPr>
      </w:pPr>
      <w:r>
        <w:rPr>
          <w:rFonts w:ascii="Verdana" w:hAnsi="Verdana" w:cs="Tahoma" w:eastAsia="DejaVu Sans"/>
          <w:b/>
          <w:bCs/>
          <w:sz w:val="20"/>
          <w:lang w:bidi="pt-BR" w:eastAsia="pt-BR"/>
        </w:rPr>
        <w:t xml:space="preserve">Documentação necessária para portadores de passaporte brasileiro: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Passaporte: validade mínima de 6 meses da data de embarque com 2 páginas em branco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Carteira de motorista internacional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Verdana" w:hAnsi="Verdana" w:cs="Lucidasans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Visto: </w:t>
      </w:r>
      <w:r>
        <w:rPr>
          <w:rFonts w:ascii="Verdana" w:hAnsi="Verdana" w:cs="Lucidasans" w:eastAsia="DejaVu Sans"/>
          <w:sz w:val="20"/>
          <w:lang w:bidi="pt-BR" w:eastAsia="pt-BR"/>
        </w:rPr>
        <w:t xml:space="preserve">não é necessário visto para Portugal</w:t>
      </w:r>
      <w:r/>
    </w:p>
    <w:p>
      <w:pPr>
        <w:numPr>
          <w:ilvl w:val="0"/>
          <w:numId w:val="4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  <w:t xml:space="preserve">Vacina: não é necessário </w:t>
      </w:r>
      <w:r/>
    </w:p>
    <w:p>
      <w:pPr>
        <w:jc w:val="both"/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</w:r>
      <w:r/>
    </w:p>
    <w:p>
      <w:pPr>
        <w:jc w:val="both"/>
        <w:spacing w:lineRule="atLeast" w:line="210"/>
        <w:widowControl/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</w:r>
      <w:r/>
    </w:p>
    <w:tbl>
      <w:tblPr>
        <w:tblW w:w="0" w:type="auto"/>
        <w:tblInd w:w="26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05"/>
      </w:tblGrid>
      <w:tr>
        <w:trPr>
          <w:trHeight w:val="603"/>
        </w:trPr>
        <w:tc>
          <w:tcPr>
            <w:shd w:val="clear" w:color="auto" w:fill="365F91" w:themeFill="accent1" w:themeFillShade="B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 w:eastAsia="DejaVu Sans"/>
                <w:b/>
                <w:color w:val="FFFFFF"/>
                <w:sz w:val="16"/>
                <w:szCs w:val="16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16"/>
                <w:szCs w:val="16"/>
                <w:lang w:bidi="pt-BR" w:eastAsia="pt-BR"/>
              </w:rPr>
              <w:t xml:space="preserve">Valores em euros por pessoa, sujeitos à disponibilidade e alteração sem aviso prévio.</w:t>
            </w:r>
            <w:r/>
          </w:p>
          <w:p>
            <w:pPr>
              <w:ind w:left="420"/>
              <w:tabs>
                <w:tab w:val="left" w:pos="420" w:leader="none"/>
              </w:tabs>
              <w:rPr>
                <w:rFonts w:ascii="Verdana" w:hAnsi="Verdana" w:cs="Arial" w:eastAsia="DejaVu Sans"/>
                <w:b/>
                <w:color w:val="FFFFFF"/>
                <w:sz w:val="14"/>
                <w:szCs w:val="14"/>
                <w:lang w:bidi="pt-BR" w:eastAsia="pt-BR"/>
              </w:rPr>
            </w:pPr>
            <w:r>
              <w:rPr>
                <w:rFonts w:ascii="Verdana" w:hAnsi="Verdana" w:cs="Arial" w:eastAsia="DejaVu Sans"/>
                <w:b/>
                <w:color w:val="FFFFFF"/>
                <w:sz w:val="14"/>
                <w:szCs w:val="14"/>
                <w:lang w:bidi="pt-BR" w:eastAsia="pt-BR"/>
              </w:rPr>
              <w:t xml:space="preserve"> </w:t>
            </w:r>
            <w:r/>
          </w:p>
        </w:tc>
      </w:tr>
    </w:tbl>
    <w:p>
      <w:pPr>
        <w:jc w:val="both"/>
        <w:rPr>
          <w:rFonts w:ascii="Verdana" w:hAnsi="Verdana" w:cs="Tahoma" w:eastAsia="DejaVu Sans"/>
          <w:sz w:val="20"/>
          <w:lang w:bidi="pt-BR" w:eastAsia="pt-BR"/>
        </w:rPr>
      </w:pPr>
      <w:r>
        <w:rPr>
          <w:rFonts w:ascii="Verdana" w:hAnsi="Verdana" w:cs="Tahoma" w:eastAsia="DejaVu Sans"/>
          <w:sz w:val="20"/>
          <w:lang w:bidi="pt-BR" w:eastAsia="pt-BR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2521" w:right="1134" w:bottom="1421" w:left="1134" w:gutter="0" w:header="993" w:footer="536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sans">
    <w:panose1 w:val="020B0800000000000000"/>
  </w:font>
  <w:font w:name="DejaVu Sans">
    <w:panose1 w:val="020B0603030804020204"/>
  </w:font>
  <w:font w:name="MS Mincho">
    <w:panose1 w:val="02020503050405090304"/>
  </w:font>
  <w:font w:name="Tahoma">
    <w:panose1 w:val="020B0606030504020204"/>
  </w:font>
  <w:font w:name="SimSun">
    <w:panose1 w:val="02020603020101020101"/>
  </w:font>
  <w:font w:name="Wingdings 2">
    <w:panose1 w:val="05010000000000000000"/>
  </w:font>
  <w:font w:name="Verdana">
    <w:panose1 w:val="020B0606030504020204"/>
  </w:font>
  <w:font w:name="StarSymbol">
    <w:panose1 w:val="020B0800000000000000"/>
  </w:font>
  <w:font w:name="Mangal">
    <w:panose1 w:val="020405030504060302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Arial">
    <w:panose1 w:val="020B0A040201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5"/>
      <w:jc w:val="center"/>
      <w:rPr>
        <w:rFonts w:cs="Tahoma"/>
        <w:b/>
        <w:color w:val="808080"/>
        <w:sz w:val="16"/>
        <w:szCs w:val="16"/>
      </w:rPr>
    </w:pPr>
    <w:r>
      <w:rPr>
        <w:rFonts w:cs="Tahoma"/>
        <w:b/>
        <w:color w:val="808080"/>
        <w:sz w:val="16"/>
        <w:szCs w:val="16"/>
      </w:rPr>
      <w:fldChar w:fldCharType="begin"/>
    </w:r>
    <w:r>
      <w:rPr>
        <w:rFonts w:cs="Tahoma"/>
        <w:b/>
        <w:color w:val="808080"/>
        <w:sz w:val="16"/>
        <w:szCs w:val="16"/>
      </w:rPr>
      <w:instrText xml:space="preserve"> PAGE </w:instrText>
    </w:r>
    <w:r>
      <w:rPr>
        <w:rFonts w:cs="Tahoma"/>
        <w:b/>
        <w:color w:val="808080"/>
        <w:sz w:val="16"/>
        <w:szCs w:val="16"/>
      </w:rPr>
      <w:fldChar w:fldCharType="separate"/>
    </w:r>
    <w:r>
      <w:rPr>
        <w:rFonts w:cs="Tahoma"/>
        <w:b/>
        <w:color w:val="808080"/>
        <w:sz w:val="16"/>
        <w:szCs w:val="16"/>
      </w:rPr>
      <w:t xml:space="preserve">4</w:t>
    </w:r>
    <w:r>
      <w:rPr>
        <w:rFonts w:cs="Tahoma"/>
        <w:b/>
        <w:color w:val="808080"/>
        <w:sz w:val="16"/>
        <w:szCs w:val="16"/>
      </w:rPr>
      <w:fldChar w:fldCharType="end"/>
    </w:r>
    <w:r>
      <w:rPr>
        <w:rFonts w:ascii="Tahoma" w:hAnsi="Tahoma" w:cs="Tahoma"/>
        <w:b/>
        <w:color w:val="808080"/>
        <w:sz w:val="16"/>
        <w:szCs w:val="16"/>
      </w:rPr>
      <w:t xml:space="preserve"> / </w:t>
    </w:r>
    <w:r>
      <w:rPr>
        <w:rFonts w:cs="Tahoma"/>
        <w:b/>
        <w:color w:val="808080"/>
        <w:sz w:val="16"/>
        <w:szCs w:val="16"/>
      </w:rPr>
      <w:fldChar w:fldCharType="begin"/>
    </w:r>
    <w:r>
      <w:rPr>
        <w:rFonts w:cs="Tahoma"/>
        <w:b/>
        <w:color w:val="808080"/>
        <w:sz w:val="16"/>
        <w:szCs w:val="16"/>
      </w:rPr>
      <w:instrText xml:space="preserve"> NUMPAGES \*Arabic </w:instrText>
    </w:r>
    <w:r>
      <w:rPr>
        <w:rFonts w:cs="Tahoma"/>
        <w:b/>
        <w:color w:val="808080"/>
        <w:sz w:val="16"/>
        <w:szCs w:val="16"/>
      </w:rPr>
      <w:fldChar w:fldCharType="separate"/>
    </w:r>
    <w:r>
      <w:rPr>
        <w:rFonts w:cs="Tahoma"/>
        <w:b/>
        <w:color w:val="808080"/>
        <w:sz w:val="16"/>
        <w:szCs w:val="16"/>
      </w:rPr>
      <w:t xml:space="preserve">4</w:t>
    </w:r>
    <w:r>
      <w:rPr>
        <w:rFonts w:cs="Tahoma"/>
        <w:b/>
        <w:color w:val="808080"/>
        <w:sz w:val="16"/>
        <w:szCs w:val="16"/>
      </w:rPr>
      <w:fldChar w:fldCharType="end"/>
    </w:r>
    <w:r/>
  </w:p>
  <w:p>
    <w:pPr>
      <w:pStyle w:val="245"/>
      <w:jc w:val="center"/>
      <w:rPr>
        <w:rFonts w:cs="Tahoma"/>
        <w:b/>
        <w:color w:val="808080"/>
        <w:sz w:val="16"/>
        <w:szCs w:val="16"/>
      </w:rPr>
    </w:pPr>
    <w:r>
      <w:rPr>
        <w:rFonts w:cs="Tahoma"/>
        <w:b/>
        <w:color w:val="808080"/>
        <w:sz w:val="16"/>
        <w:szCs w:val="16"/>
      </w:rPr>
    </w:r>
    <w:r/>
  </w:p>
  <w:p>
    <w:pPr>
      <w:pStyle w:val="245"/>
      <w:jc w:val="center"/>
      <w:rPr>
        <w:rFonts w:ascii="Tahoma" w:hAnsi="Tahoma" w:cs="Tahoma"/>
        <w:color w:val="808080"/>
        <w:sz w:val="16"/>
        <w:szCs w:val="16"/>
        <w:lang w:val="en-US"/>
      </w:rPr>
    </w:pPr>
    <w:r>
      <w:rPr>
        <w:rFonts w:ascii="Tahoma" w:hAnsi="Tahoma" w:cs="Tahoma"/>
        <w:b/>
        <w:color w:val="808080"/>
        <w:sz w:val="16"/>
        <w:szCs w:val="16"/>
      </w:rPr>
      <w:t xml:space="preserve">Interpoint Viagens e Turismo -  </w:t>
    </w:r>
    <w:r>
      <w:rPr>
        <w:rFonts w:ascii="Tahoma" w:hAnsi="Tahoma" w:cs="Tahoma"/>
        <w:color w:val="808080"/>
        <w:sz w:val="16"/>
        <w:szCs w:val="16"/>
        <w:lang w:val="en-US"/>
      </w:rPr>
      <w:t xml:space="preserve">Tel SP: 3087-9400 / Toll Free: 0800-11-9400 -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eastAsia="pt-BR"/>
      </w:rPr>
      <w:drawing>
        <wp:inline xmlns:wp="http://schemas.openxmlformats.org/drawingml/2006/wordprocessingDrawing" distT="0" distB="0" distL="0" distR="0">
          <wp:extent cx="6084000" cy="570639"/>
          <wp:effectExtent l="19049" t="0" r="0" b="0"/>
          <wp:docPr id="1" name="Imagem 1" descr="logotipo_interpoint_roteiro.png" hidden="false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ipo_interpoint_roteiro.png" hidden="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084000" cy="57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pStyle w:val="171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pStyle w:val="172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pStyle w:val="173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pStyle w:val="174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pStyle w:val="175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pStyle w:val="176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pStyle w:val="177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pStyle w:val="178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pStyle w:val="179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0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80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0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80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80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80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80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80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80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70"/>
    <w:qFormat/>
    <w:uiPriority w:val="34"/>
    <w:pPr>
      <w:contextualSpacing w:val="true"/>
      <w:ind w:left="720"/>
    </w:pPr>
  </w:style>
  <w:style w:type="paragraph" w:styleId="31">
    <w:name w:val="No Spacing"/>
    <w:basedOn w:val="17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70"/>
    <w:next w:val="17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70"/>
    <w:next w:val="17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70"/>
    <w:next w:val="17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70"/>
    <w:next w:val="17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8">
    <w:name w:val="Table Grid"/>
    <w:basedOn w:val="1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80"/>
    <w:uiPriority w:val="99"/>
    <w:semiHidden/>
    <w:rPr>
      <w:sz w:val="20"/>
    </w:rPr>
  </w:style>
  <w:style w:type="character" w:styleId="63">
    <w:name w:val="footnote reference"/>
    <w:basedOn w:val="180"/>
    <w:uiPriority w:val="99"/>
    <w:semiHidden/>
    <w:unhideWhenUsed/>
    <w:rPr>
      <w:vertAlign w:val="superscript"/>
    </w:rPr>
  </w:style>
  <w:style w:type="paragraph" w:styleId="64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65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70" w:default="1">
    <w:name w:val="Normal"/>
    <w:qFormat/>
    <w:rPr>
      <w:rFonts w:eastAsia="Arial Unicode MS"/>
      <w:sz w:val="24"/>
      <w:szCs w:val="24"/>
      <w:lang w:eastAsia="ar-SA"/>
    </w:rPr>
    <w:pPr>
      <w:widowControl w:val="off"/>
    </w:pPr>
  </w:style>
  <w:style w:type="paragraph" w:styleId="171">
    <w:name w:val="Heading 1"/>
    <w:basedOn w:val="240"/>
    <w:next w:val="236"/>
    <w:qFormat/>
    <w:rPr>
      <w:b/>
      <w:bCs/>
      <w:sz w:val="32"/>
      <w:szCs w:val="32"/>
    </w:rPr>
    <w:pPr>
      <w:numPr>
        <w:numId w:val="1"/>
      </w:numPr>
      <w:outlineLvl w:val="0"/>
    </w:pPr>
  </w:style>
  <w:style w:type="paragraph" w:styleId="172">
    <w:name w:val="Heading 2"/>
    <w:basedOn w:val="240"/>
    <w:next w:val="236"/>
    <w:qFormat/>
    <w:rPr>
      <w:b/>
      <w:bCs/>
      <w:i/>
      <w:iCs/>
    </w:rPr>
    <w:pPr>
      <w:numPr>
        <w:ilvl w:val="1"/>
        <w:numId w:val="1"/>
      </w:numPr>
      <w:outlineLvl w:val="1"/>
    </w:pPr>
  </w:style>
  <w:style w:type="paragraph" w:styleId="173">
    <w:name w:val="Heading 3"/>
    <w:basedOn w:val="240"/>
    <w:next w:val="236"/>
    <w:qFormat/>
    <w:rPr>
      <w:b/>
      <w:bCs/>
    </w:rPr>
    <w:pPr>
      <w:numPr>
        <w:ilvl w:val="2"/>
        <w:numId w:val="1"/>
      </w:numPr>
      <w:outlineLvl w:val="2"/>
    </w:pPr>
  </w:style>
  <w:style w:type="paragraph" w:styleId="174">
    <w:name w:val="Heading 4"/>
    <w:basedOn w:val="240"/>
    <w:next w:val="236"/>
    <w:qFormat/>
    <w:rPr>
      <w:b/>
      <w:bCs/>
      <w:i/>
      <w:iCs/>
      <w:sz w:val="24"/>
      <w:szCs w:val="24"/>
    </w:rPr>
    <w:pPr>
      <w:numPr>
        <w:ilvl w:val="3"/>
        <w:numId w:val="1"/>
      </w:numPr>
      <w:outlineLvl w:val="3"/>
    </w:pPr>
  </w:style>
  <w:style w:type="paragraph" w:styleId="175">
    <w:name w:val="Heading 5"/>
    <w:basedOn w:val="240"/>
    <w:next w:val="236"/>
    <w:qFormat/>
    <w:rPr>
      <w:b/>
      <w:bCs/>
      <w:sz w:val="24"/>
      <w:szCs w:val="24"/>
    </w:rPr>
    <w:pPr>
      <w:numPr>
        <w:ilvl w:val="4"/>
        <w:numId w:val="1"/>
      </w:numPr>
      <w:outlineLvl w:val="4"/>
    </w:pPr>
  </w:style>
  <w:style w:type="paragraph" w:styleId="176">
    <w:name w:val="Heading 6"/>
    <w:basedOn w:val="240"/>
    <w:next w:val="236"/>
    <w:qFormat/>
    <w:rPr>
      <w:b/>
      <w:bCs/>
      <w:sz w:val="21"/>
      <w:szCs w:val="21"/>
    </w:rPr>
    <w:pPr>
      <w:numPr>
        <w:ilvl w:val="5"/>
        <w:numId w:val="1"/>
      </w:numPr>
      <w:outlineLvl w:val="5"/>
    </w:pPr>
  </w:style>
  <w:style w:type="paragraph" w:styleId="177">
    <w:name w:val="Heading 7"/>
    <w:basedOn w:val="240"/>
    <w:next w:val="236"/>
    <w:qFormat/>
    <w:rPr>
      <w:b/>
      <w:bCs/>
      <w:sz w:val="21"/>
      <w:szCs w:val="21"/>
    </w:rPr>
    <w:pPr>
      <w:numPr>
        <w:ilvl w:val="6"/>
        <w:numId w:val="1"/>
      </w:numPr>
      <w:outlineLvl w:val="6"/>
    </w:pPr>
  </w:style>
  <w:style w:type="paragraph" w:styleId="178">
    <w:name w:val="Heading 8"/>
    <w:basedOn w:val="240"/>
    <w:next w:val="236"/>
    <w:qFormat/>
    <w:rPr>
      <w:b/>
      <w:bCs/>
      <w:sz w:val="21"/>
      <w:szCs w:val="21"/>
    </w:rPr>
    <w:pPr>
      <w:numPr>
        <w:ilvl w:val="7"/>
        <w:numId w:val="1"/>
      </w:numPr>
      <w:outlineLvl w:val="7"/>
    </w:pPr>
  </w:style>
  <w:style w:type="paragraph" w:styleId="179">
    <w:name w:val="Heading 9"/>
    <w:basedOn w:val="240"/>
    <w:next w:val="236"/>
    <w:qFormat/>
    <w:rPr>
      <w:b/>
      <w:bCs/>
      <w:sz w:val="21"/>
      <w:szCs w:val="21"/>
    </w:rPr>
    <w:pPr>
      <w:numPr>
        <w:ilvl w:val="8"/>
        <w:numId w:val="1"/>
      </w:numPr>
      <w:outlineLvl w:val="8"/>
    </w:pPr>
  </w:style>
  <w:style w:type="character" w:styleId="180" w:default="1">
    <w:name w:val="Default Paragraph Font"/>
    <w:uiPriority w:val="1"/>
    <w:semiHidden/>
    <w:unhideWhenUsed/>
  </w:style>
  <w:style w:type="table" w:styleId="1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2" w:default="1">
    <w:name w:val="No List"/>
    <w:uiPriority w:val="99"/>
    <w:semiHidden/>
    <w:unhideWhenUsed/>
  </w:style>
  <w:style w:type="character" w:styleId="183">
    <w:name w:val="WW8Num3z0"/>
    <w:rPr>
      <w:rFonts w:ascii="Symbol" w:hAnsi="Symbol"/>
    </w:rPr>
  </w:style>
  <w:style w:type="character" w:styleId="184">
    <w:name w:val="WW8Num4z0"/>
    <w:rPr>
      <w:rFonts w:ascii="Symbol" w:hAnsi="Symbol"/>
    </w:rPr>
  </w:style>
  <w:style w:type="character" w:styleId="185">
    <w:name w:val="Absatz-Standardschriftart"/>
  </w:style>
  <w:style w:type="character" w:styleId="186">
    <w:name w:val="Fonte parág. padrão3"/>
  </w:style>
  <w:style w:type="character" w:styleId="187">
    <w:name w:val="WW-Absatz-Standardschriftart"/>
  </w:style>
  <w:style w:type="character" w:styleId="188">
    <w:name w:val="WW8Num5z0"/>
    <w:rPr>
      <w:rFonts w:ascii="Wingdings" w:hAnsi="Wingdings" w:cs="StarSymbol"/>
      <w:sz w:val="18"/>
      <w:szCs w:val="18"/>
    </w:rPr>
  </w:style>
  <w:style w:type="character" w:styleId="189">
    <w:name w:val="WW8Num6z0"/>
    <w:rPr>
      <w:rFonts w:ascii="Wingdings" w:hAnsi="Wingdings"/>
    </w:rPr>
  </w:style>
  <w:style w:type="character" w:styleId="190">
    <w:name w:val="WW8Num7z0"/>
    <w:rPr>
      <w:rFonts w:ascii="Symbol" w:hAnsi="Symbol"/>
    </w:rPr>
  </w:style>
  <w:style w:type="character" w:styleId="191">
    <w:name w:val="WW8Num7z1"/>
    <w:rPr>
      <w:rFonts w:ascii="Courier New" w:hAnsi="Courier New" w:cs="Courier New"/>
    </w:rPr>
  </w:style>
  <w:style w:type="character" w:styleId="192">
    <w:name w:val="WW8Num7z2"/>
    <w:rPr>
      <w:rFonts w:ascii="Wingdings" w:hAnsi="Wingdings"/>
    </w:rPr>
  </w:style>
  <w:style w:type="character" w:styleId="193">
    <w:name w:val="WW8Num8z0"/>
    <w:rPr>
      <w:rFonts w:ascii="Symbol" w:hAnsi="Symbol"/>
    </w:rPr>
  </w:style>
  <w:style w:type="character" w:styleId="194">
    <w:name w:val="WW8Num8z1"/>
    <w:rPr>
      <w:rFonts w:ascii="Courier New" w:hAnsi="Courier New" w:cs="Courier New"/>
    </w:rPr>
  </w:style>
  <w:style w:type="character" w:styleId="195">
    <w:name w:val="WW8Num8z2"/>
    <w:rPr>
      <w:rFonts w:ascii="Wingdings" w:hAnsi="Wingdings"/>
    </w:rPr>
  </w:style>
  <w:style w:type="character" w:styleId="196">
    <w:name w:val="WW8Num9z0"/>
    <w:rPr>
      <w:rFonts w:ascii="Times New Roman" w:hAnsi="Times New Roman"/>
    </w:rPr>
  </w:style>
  <w:style w:type="character" w:styleId="197">
    <w:name w:val="Fonte parág. padrão2"/>
  </w:style>
  <w:style w:type="character" w:styleId="198">
    <w:name w:val="WW8Num2z0"/>
    <w:rPr>
      <w:rFonts w:ascii="Symbol" w:hAnsi="Symbol"/>
    </w:rPr>
  </w:style>
  <w:style w:type="character" w:styleId="199">
    <w:name w:val="WW-Absatz-Standardschriftart1"/>
  </w:style>
  <w:style w:type="character" w:styleId="200">
    <w:name w:val="WW-Absatz-Standardschriftart11"/>
  </w:style>
  <w:style w:type="character" w:styleId="201">
    <w:name w:val="WW-Absatz-Standardschriftart111"/>
  </w:style>
  <w:style w:type="character" w:styleId="202">
    <w:name w:val="WW-Absatz-Standardschriftart1111"/>
  </w:style>
  <w:style w:type="character" w:styleId="203">
    <w:name w:val="WW-Absatz-Standardschriftart11111"/>
  </w:style>
  <w:style w:type="character" w:styleId="204">
    <w:name w:val="WW-Absatz-Standardschriftart111111"/>
  </w:style>
  <w:style w:type="character" w:styleId="205">
    <w:name w:val="WW-Absatz-Standardschriftart1111111"/>
  </w:style>
  <w:style w:type="character" w:styleId="206">
    <w:name w:val="WW-Absatz-Standardschriftart11111111"/>
  </w:style>
  <w:style w:type="character" w:styleId="207">
    <w:name w:val="WW8Num2z1"/>
    <w:rPr>
      <w:rFonts w:ascii="Courier New" w:hAnsi="Courier New" w:cs="Courier New"/>
    </w:rPr>
  </w:style>
  <w:style w:type="character" w:styleId="208">
    <w:name w:val="WW8Num2z2"/>
    <w:rPr>
      <w:rFonts w:ascii="Wingdings" w:hAnsi="Wingdings"/>
    </w:rPr>
  </w:style>
  <w:style w:type="character" w:styleId="209">
    <w:name w:val="WW8Num3z1"/>
    <w:rPr>
      <w:rFonts w:ascii="Courier New" w:hAnsi="Courier New" w:cs="Courier New"/>
    </w:rPr>
  </w:style>
  <w:style w:type="character" w:styleId="210">
    <w:name w:val="WW8Num3z2"/>
    <w:rPr>
      <w:rFonts w:ascii="Wingdings" w:hAnsi="Wingdings"/>
    </w:rPr>
  </w:style>
  <w:style w:type="character" w:styleId="211">
    <w:name w:val="WW8Num4z1"/>
    <w:rPr>
      <w:rFonts w:ascii="Courier New" w:hAnsi="Courier New" w:cs="Courier New"/>
    </w:rPr>
  </w:style>
  <w:style w:type="character" w:styleId="212">
    <w:name w:val="WW8Num4z2"/>
    <w:rPr>
      <w:rFonts w:ascii="Wingdings" w:hAnsi="Wingdings"/>
    </w:rPr>
  </w:style>
  <w:style w:type="character" w:styleId="213">
    <w:name w:val="WW-Absatz-Standardschriftart111111111"/>
  </w:style>
  <w:style w:type="character" w:styleId="214">
    <w:name w:val="WW-Absatz-Standardschriftart1111111111"/>
  </w:style>
  <w:style w:type="character" w:styleId="215">
    <w:name w:val="WW-Absatz-Standardschriftart11111111111"/>
  </w:style>
  <w:style w:type="character" w:styleId="216">
    <w:name w:val="WW-Absatz-Standardschriftart111111111111"/>
  </w:style>
  <w:style w:type="character" w:styleId="217">
    <w:name w:val="WW-Absatz-Standardschriftart1111111111111"/>
  </w:style>
  <w:style w:type="character" w:styleId="218">
    <w:name w:val="WW8Num1z0"/>
    <w:rPr>
      <w:rFonts w:ascii="Wingdings" w:hAnsi="Wingdings"/>
    </w:rPr>
  </w:style>
  <w:style w:type="character" w:styleId="219">
    <w:name w:val="WW8Num1z1"/>
    <w:rPr>
      <w:rFonts w:ascii="Wingdings 2" w:hAnsi="Wingdings 2" w:cs="Courier New"/>
    </w:rPr>
  </w:style>
  <w:style w:type="character" w:styleId="220">
    <w:name w:val="WW8Num1z2"/>
    <w:rPr>
      <w:rFonts w:ascii="StarSymbol" w:hAnsi="StarSymbol"/>
    </w:rPr>
  </w:style>
  <w:style w:type="character" w:styleId="221">
    <w:name w:val="WW-Absatz-Standardschriftart11111111111111"/>
  </w:style>
  <w:style w:type="character" w:styleId="222">
    <w:name w:val="WW-Absatz-Standardschriftart111111111111111"/>
  </w:style>
  <w:style w:type="character" w:styleId="223">
    <w:name w:val="WW-Absatz-Standardschriftart1111111111111111"/>
  </w:style>
  <w:style w:type="character" w:styleId="224">
    <w:name w:val="Símbolos de numeração"/>
  </w:style>
  <w:style w:type="character" w:styleId="225">
    <w:name w:val="Marcadores"/>
    <w:rPr>
      <w:rFonts w:ascii="StarSymbol" w:hAnsi="StarSymbol" w:cs="StarSymbol" w:eastAsia="StarSymbol"/>
      <w:sz w:val="18"/>
      <w:szCs w:val="18"/>
    </w:rPr>
  </w:style>
  <w:style w:type="character" w:styleId="226">
    <w:name w:val="Caracteres de Nota de Rodapé"/>
  </w:style>
  <w:style w:type="character" w:styleId="227">
    <w:name w:val="Caracteres de Nota de Fim"/>
  </w:style>
  <w:style w:type="character" w:styleId="228">
    <w:name w:val="Hyperlink"/>
    <w:rPr>
      <w:color w:val="000080"/>
      <w:u w:val="single"/>
    </w:rPr>
  </w:style>
  <w:style w:type="character" w:styleId="229">
    <w:name w:val="FollowedHyperlink"/>
    <w:rPr>
      <w:color w:val="800000"/>
      <w:u w:val="single"/>
    </w:rPr>
  </w:style>
  <w:style w:type="character" w:styleId="230">
    <w:name w:val="Fonte parág. padrão1"/>
  </w:style>
  <w:style w:type="character" w:styleId="231">
    <w:name w:val="Emphasis"/>
    <w:basedOn w:val="230"/>
    <w:qFormat/>
    <w:rPr>
      <w:i/>
      <w:iCs/>
    </w:rPr>
  </w:style>
  <w:style w:type="character" w:styleId="232">
    <w:name w:val="Strong"/>
    <w:basedOn w:val="230"/>
    <w:qFormat/>
    <w:rPr>
      <w:b/>
      <w:bCs/>
    </w:rPr>
  </w:style>
  <w:style w:type="character" w:styleId="233">
    <w:name w:val="Tipo de letra predefinido do parágrafo"/>
  </w:style>
  <w:style w:type="character" w:styleId="234">
    <w:name w:val="produto_descricao1"/>
    <w:basedOn w:val="233"/>
    <w:rPr>
      <w:rFonts w:ascii="Verdana" w:hAnsi="Verdana"/>
      <w:color w:val="696969"/>
      <w:sz w:val="16"/>
      <w:szCs w:val="16"/>
    </w:rPr>
  </w:style>
  <w:style w:type="paragraph" w:styleId="235">
    <w:name w:val="Título2"/>
    <w:basedOn w:val="170"/>
    <w:next w:val="236"/>
    <w:rPr>
      <w:rFonts w:ascii="Arial" w:hAnsi="Arial" w:cs="Mangal" w:eastAsia="SimSun"/>
      <w:sz w:val="28"/>
      <w:szCs w:val="28"/>
    </w:rPr>
    <w:pPr>
      <w:keepNext/>
      <w:spacing w:after="120" w:before="240"/>
    </w:pPr>
  </w:style>
  <w:style w:type="paragraph" w:styleId="236">
    <w:name w:val="Body Text"/>
    <w:basedOn w:val="170"/>
    <w:pPr>
      <w:spacing w:after="120"/>
    </w:pPr>
  </w:style>
  <w:style w:type="paragraph" w:styleId="237">
    <w:name w:val="List"/>
    <w:basedOn w:val="236"/>
    <w:rPr>
      <w:rFonts w:cs="Tahoma"/>
    </w:rPr>
  </w:style>
  <w:style w:type="paragraph" w:styleId="238">
    <w:name w:val="Legenda3"/>
    <w:basedOn w:val="170"/>
    <w:rPr>
      <w:rFonts w:cs="Mangal"/>
      <w:i/>
      <w:iCs/>
    </w:rPr>
    <w:pPr>
      <w:spacing w:after="120" w:before="120"/>
    </w:pPr>
  </w:style>
  <w:style w:type="paragraph" w:styleId="239">
    <w:name w:val="Índice"/>
    <w:basedOn w:val="170"/>
    <w:rPr>
      <w:rFonts w:cs="Tahoma"/>
    </w:rPr>
  </w:style>
  <w:style w:type="paragraph" w:styleId="240">
    <w:name w:val="Capítulo"/>
    <w:basedOn w:val="170"/>
    <w:next w:val="236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41">
    <w:name w:val="Título1"/>
    <w:basedOn w:val="170"/>
    <w:next w:val="236"/>
    <w:rPr>
      <w:rFonts w:ascii="Arial" w:hAnsi="Arial" w:cs="Tahoma" w:eastAsia="MS Mincho"/>
      <w:sz w:val="28"/>
      <w:szCs w:val="28"/>
    </w:rPr>
    <w:pPr>
      <w:keepNext/>
      <w:spacing w:after="120" w:before="240"/>
    </w:pPr>
  </w:style>
  <w:style w:type="paragraph" w:styleId="242">
    <w:name w:val="Legenda2"/>
    <w:basedOn w:val="170"/>
    <w:rPr>
      <w:rFonts w:cs="Tahoma"/>
      <w:i/>
      <w:iCs/>
    </w:rPr>
    <w:pPr>
      <w:spacing w:after="120" w:before="120"/>
    </w:pPr>
  </w:style>
  <w:style w:type="paragraph" w:styleId="243">
    <w:name w:val="Legenda1"/>
    <w:basedOn w:val="170"/>
    <w:rPr>
      <w:rFonts w:cs="Tahoma"/>
      <w:i/>
      <w:iCs/>
    </w:rPr>
    <w:pPr>
      <w:spacing w:after="120" w:before="120"/>
    </w:pPr>
  </w:style>
  <w:style w:type="paragraph" w:styleId="244">
    <w:name w:val="Header"/>
    <w:basedOn w:val="170"/>
    <w:pPr>
      <w:tabs>
        <w:tab w:val="center" w:pos="4818" w:leader="none"/>
        <w:tab w:val="right" w:pos="9637" w:leader="none"/>
      </w:tabs>
    </w:pPr>
  </w:style>
  <w:style w:type="paragraph" w:styleId="245">
    <w:name w:val="Footer"/>
    <w:basedOn w:val="170"/>
    <w:pPr>
      <w:tabs>
        <w:tab w:val="center" w:pos="4818" w:leader="none"/>
        <w:tab w:val="right" w:pos="9637" w:leader="none"/>
      </w:tabs>
    </w:pPr>
  </w:style>
  <w:style w:type="paragraph" w:styleId="246">
    <w:name w:val="footnote text"/>
    <w:basedOn w:val="170"/>
    <w:rPr>
      <w:sz w:val="20"/>
      <w:szCs w:val="20"/>
    </w:rPr>
    <w:pPr>
      <w:ind w:left="283" w:hanging="282"/>
    </w:pPr>
  </w:style>
  <w:style w:type="paragraph" w:styleId="247">
    <w:name w:val="Recuo da Lista"/>
    <w:basedOn w:val="236"/>
    <w:pPr>
      <w:ind w:left="2835" w:hanging="2550"/>
      <w:tabs>
        <w:tab w:val="left" w:pos="11340" w:leader="none"/>
      </w:tabs>
    </w:pPr>
  </w:style>
  <w:style w:type="paragraph" w:styleId="248">
    <w:name w:val="Recuo deslocado"/>
    <w:basedOn w:val="236"/>
    <w:pPr>
      <w:ind w:left="567" w:hanging="282"/>
      <w:tabs>
        <w:tab w:val="left" w:pos="2268" w:leader="none"/>
      </w:tabs>
    </w:pPr>
  </w:style>
  <w:style w:type="paragraph" w:styleId="249">
    <w:name w:val="Body Text Indent"/>
    <w:basedOn w:val="236"/>
    <w:pPr>
      <w:ind w:left="283"/>
    </w:pPr>
  </w:style>
  <w:style w:type="paragraph" w:styleId="250">
    <w:name w:val="Saudações finais"/>
    <w:basedOn w:val="170"/>
  </w:style>
  <w:style w:type="paragraph" w:styleId="251">
    <w:name w:val="Conteúdo da tabela"/>
    <w:basedOn w:val="170"/>
  </w:style>
  <w:style w:type="paragraph" w:styleId="252">
    <w:name w:val="Título da tabela"/>
    <w:basedOn w:val="251"/>
    <w:rPr>
      <w:b/>
      <w:bCs/>
    </w:rPr>
    <w:pPr>
      <w:jc w:val="center"/>
    </w:pPr>
  </w:style>
  <w:style w:type="paragraph" w:styleId="253">
    <w:name w:val="Listar Conteúdo"/>
    <w:basedOn w:val="170"/>
    <w:pPr>
      <w:ind w:left="567"/>
    </w:pPr>
  </w:style>
  <w:style w:type="paragraph" w:styleId="254">
    <w:name w:val="titulo"/>
    <w:basedOn w:val="170"/>
    <w:rPr>
      <w:rFonts w:ascii="Verdana" w:hAnsi="Verdana"/>
      <w:b/>
      <w:bCs/>
      <w:color w:val="000080"/>
    </w:rPr>
    <w:pPr>
      <w:jc w:val="center"/>
    </w:pPr>
  </w:style>
  <w:style w:type="paragraph" w:styleId="255">
    <w:name w:val="corpo"/>
    <w:basedOn w:val="170"/>
    <w:rPr>
      <w:rFonts w:ascii="Verdana" w:hAnsi="Verdana"/>
      <w:color w:val="000000"/>
      <w:sz w:val="20"/>
      <w:szCs w:val="20"/>
    </w:rPr>
  </w:style>
  <w:style w:type="paragraph" w:styleId="256">
    <w:name w:val="dia"/>
    <w:basedOn w:val="170"/>
    <w:rPr>
      <w:rFonts w:ascii="Verdana" w:hAnsi="Verdana"/>
      <w:sz w:val="20"/>
    </w:rPr>
    <w:pPr>
      <w:jc w:val="both"/>
    </w:pPr>
  </w:style>
  <w:style w:type="paragraph" w:styleId="257">
    <w:name w:val="tabela"/>
    <w:basedOn w:val="170"/>
    <w:rPr>
      <w:rFonts w:ascii="Verdana" w:hAnsi="Verdana"/>
      <w:sz w:val="20"/>
    </w:rPr>
    <w:pPr>
      <w:jc w:val="center"/>
    </w:pPr>
  </w:style>
  <w:style w:type="paragraph" w:styleId="258">
    <w:name w:val="relação"/>
    <w:basedOn w:val="170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59">
    <w:name w:val="final"/>
    <w:basedOn w:val="170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60">
    <w:name w:val="tabela cb"/>
    <w:basedOn w:val="257"/>
    <w:rPr>
      <w:b/>
      <w:color w:val="FFFFFF"/>
    </w:rPr>
    <w:pPr>
      <w:shd w:val="clear" w:color="auto" w:fill="666699"/>
    </w:pPr>
  </w:style>
  <w:style w:type="paragraph" w:styleId="261">
    <w:name w:val="Normal (Web)"/>
    <w:basedOn w:val="170"/>
    <w:rPr>
      <w:rFonts w:eastAsia="Times New Roman"/>
      <w:lang w:val="en-GB"/>
    </w:rPr>
    <w:pPr>
      <w:spacing w:before="105"/>
      <w:widowControl/>
    </w:pPr>
  </w:style>
  <w:style w:type="paragraph" w:styleId="262">
    <w:name w:val="Dia - Descrição"/>
    <w:basedOn w:val="170"/>
    <w:rPr>
      <w:rFonts w:ascii="Tahoma" w:hAnsi="Tahoma"/>
      <w:color w:val="000000"/>
      <w:sz w:val="20"/>
    </w:rPr>
    <w:pPr>
      <w:ind w:left="990"/>
      <w:jc w:val="both"/>
    </w:pPr>
  </w:style>
  <w:style w:type="paragraph" w:styleId="263">
    <w:name w:val="Conteúdo de tabela"/>
    <w:basedOn w:val="170"/>
  </w:style>
  <w:style w:type="paragraph" w:styleId="264">
    <w:name w:val="Título de tabela"/>
    <w:basedOn w:val="263"/>
    <w:rPr>
      <w:b/>
      <w:bCs/>
    </w:rPr>
    <w:pPr>
      <w:jc w:val="center"/>
    </w:pPr>
  </w:style>
  <w:style w:type="paragraph" w:styleId="265">
    <w:name w:val="Balloon Text"/>
    <w:basedOn w:val="170"/>
    <w:uiPriority w:val="99"/>
    <w:semiHidden/>
    <w:unhideWhenUsed/>
    <w:rPr>
      <w:rFonts w:ascii="Tahoma" w:hAnsi="Tahoma" w:cs="Tahoma"/>
      <w:sz w:val="16"/>
      <w:szCs w:val="16"/>
    </w:rPr>
  </w:style>
  <w:style w:type="character" w:styleId="266">
    <w:name w:val="Balloon Text Char"/>
    <w:basedOn w:val="180"/>
    <w:uiPriority w:val="99"/>
    <w:semiHidden/>
    <w:rPr>
      <w:rFonts w:ascii="Tahoma" w:hAnsi="Tahoma" w:cs="Tahoma" w:eastAsia="Arial Unicode MS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